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31837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TECHNOLOGY STANDARDS CATALOG</w:t>
      </w:r>
    </w:p>
    <w:p>
      <w:pPr>
        <w:shd w:fill="1A2647" w:val="clear"/>
        <w:spacing w:after="240" w:before="0"/>
        <w:ind w:left="360" w:right="360"/>
      </w:pPr>
      <w:r>
        <w:rPr>
          <w:rFonts w:ascii="Arial" w:cs="Arial" w:eastAsia="Arial" w:hAnsi="Arial"/>
          <w:color w:val="BFC5D4"/>
          <w:sz w:val="22"/>
          <w:szCs w:val="22"/>
        </w:rPr>
        <w:t xml:space="preserve">Enterprise Technology Council — PT Equity Life Indonesia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ELI-EA-TECHSTD-2025-001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Versi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 — Berlaku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Mei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Pemilik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Enterprise Architecture Team + IT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Setiap 6 bulan (atau segera jika ada EOL announcement)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Berlaku Untuk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Semua proyek IT baru dan evolusi sistem existing di PT Equity Life Indonesia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Proses Penambahan Teknologi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Proposal ke Technology Council → ARB Review → Approval → Update catalog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31837" w:sz="1"/>
              <w:left w:val="single" w:color="E31837" w:sz="12"/>
              <w:bottom w:val="single" w:color="E31837" w:sz="1"/>
              <w:right w:val="single" w:color="E31837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22"/>
                <w:szCs w:val="22"/>
              </w:rPr>
              <w:t xml:space="preserve">Cara Membaca Dokumen Ini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APPROVED = Boleh digunakan dalam proyek baru. CONDITIONAL = Boleh digunakan dengan kondisi tertentu (lihat catatan). DEPRECATED = Jangan digunakan di sistem baru; sistem existing boleh tetap jalan hingga migration selesai. PROHIBITED = Dilarang keras di semua proyek.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1. PROGRAMMING LANGUAGES &amp; RUNTIMES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100"/>
        <w:gridCol w:w="1800"/>
        <w:gridCol w:w="3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 Minimum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Java (OpenJDK)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21 LTS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microservices primary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Gunakan Spring Boot 3.x. Java 11 DEPRECATED.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 (Golang)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1.22+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microservices secondary, CLI tools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Untuk use case yang membutuhkan performa tinggi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3.11+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engineering, ML/AI, scripting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Jangan untuk production backend utama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(React), Node.js backend secondary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JavaScript vanilla DEPRECATED untuk proyek baru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Dart (Flutter)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 application (iOS &amp; Android)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Satu codebase untuk iOS dan Android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SQL dialect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Query relational database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Gunakan parameterized query — WAJIB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8.2+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Maintenance sistem legacy saja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DILARANG untuk proyek baru. Migrate ke Java/Go.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Ruby, .NET, C++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Semua versi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PROHIBITED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Tidak ada expertise dan ekosistem support internal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2. FRAMEWORK &amp;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000"/>
        <w:gridCol w:w="13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Java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Gunakan starter parent resmi. Security module wajib.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6.x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Java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OAuth 2.0 Resource Server config wajib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18.x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Wajib TypeScript. Class component DEPRECATED.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Flutter SDK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Gunakan Riverpod untuk state management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Gin (Go)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1.9+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Go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Lightweight HTTP framework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Apache Spark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3.5+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Untuk batch processing skala besar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Lifecycle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registry dan experiment tracking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DEPRECATED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Migrasi ke React.js untuk proyek baru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Struts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PROHIBITED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Java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EOL, banyak CVE kritis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3. DATABASES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000"/>
        <w:gridCol w:w="18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15.x+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Relational OLTP primary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ACID compliant. Wajib untuk data finansial dan polis.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store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Untuk konfigurasi produk dan dokumen semi-structured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Cache, session, distributed lock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Sentinel mode untuk HA. Jangan store data kritis tanpa persistence.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ClickHouse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23.x+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OLAP, Data Warehouse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Untuk analytics dan regulatory reporting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3.6+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 streaming, message broker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KRaft mode (tanpa ZooKeeper) untuk deployment baru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MinIO / S3-compatible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Untuk dokumen, evidence, dan blob storage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 engine, log analytics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Alternatif Elasticsearch — open 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Oracle Database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Semua versi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Aktuaria legacy saja (exception EXC-2024-002)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Dilarang untuk sistem baru. Existting: support hingga 2026.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MySQL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Semua versi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DEPRECATED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Migrasi ke PostgreSQL. Tidak boleh untuk sistem baru.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Microsoft SQL Server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Semua versi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PROHIBITED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Lisensi mahal, vendor lock-in. Tidak ada approval.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SQLite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Semua versi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PROHIBITED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Hanya untuk testing/development lokal saja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4. INFRASTRUCTURE &amp;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000"/>
        <w:gridCol w:w="18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Kubernetes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1.28+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Upgrade wajib jika versi sudah EOL. Saat ini 1.26 perlu segera upgrade.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24.x+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Gunakan rootless mode untuk keamanan lebih baik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Istio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1.20+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 mesh, mTLS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Wajib untuk komunikasi antar microservices di production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Kong Enterprise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Central point untuk semua API eksternal dan internal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Keycloak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23.x+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Identity &amp; Access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SSO provider untuk semua aplikasi ELI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1.15+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Semua credentials wajib dikelola di Vault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Terraform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1.7+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Semua infra provisioning harus via Terraform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9.x+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Configuration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Untuk OS-level configuration dan patching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ArgoCD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GitOps CD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Deployment ke Kubernetes wajib via ArgoCD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GitLab CE/EE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16.x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Source code + CI/CD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Self-hosted. Semua code wajib di GitLab ELI.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Harbor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Private registry dengan image scanning (Trivy)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Amazon Web Services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Public cloud (DR + burst)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Region: ap-southeast-3 (Jakarta). Data klasifikasi CONFIDENTIAL+ di AWS harus encrypted.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VMware vSphere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7.x+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On-premise virtualization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Untuk existing workload yang belum dicontainerize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Windows Server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Legacy apps yang membutuhkan Windows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Minimize. Containerize ke Linux sebisa mungkin.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5. SECURITY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SAST (Code Analysis)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SonarQube Community/Enterprise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Wajib di CI/CD pipeline. Threshold: 0 Critical, &lt; 5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DAST (Runtime Scan)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OWASP ZAP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Wajib di CI/CD staging. Sebelum production release.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 Scanning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Trivy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Wajib di Harbor registry dan CI/CD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Dependency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OWASP Dependency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Scan third-party library vulnerability. Wajib di CI/CD.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Cloudflare WAF + Kong WAF Plugin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Wajib untuk semua API yang expose ke internet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Elastic SIEM / Wazuh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Centralized security event monitoring. 24/7 SOC.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 vendor (annual)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MANDATORY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Minimal 1x per tahun untuk sistem Tier-1. ARB review hasilnya.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VPN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WireGuard / OpenVPN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Remote access ke management zone. MFA wajib.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EDR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CrowdStrike / SentinelOne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Endpoint detection &amp; response di semua server dan workstation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6. OBSERVABILITY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Prometheus + Node Exporter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WAJIB di setiap service. Expose /metrics endpoint.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operasional dan business KPI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Loki + Promtail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Centralized logging. Format JSON wajib.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Alerting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Alertmanager + PagerDuty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On-call rotation wajib untuk Tier-1 sistem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Tempo + OpenTelemetry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Trace propagation wajib (W3C TraceContext)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Blackbox Exporter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Synthetic monitoring setiap 30 detik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Elastic APM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Application performance monitoring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Splunk / Elastic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DEPRECATED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Gunakan Loki stack. Splunk terlalu mahal.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1837" w:sz="4" w:space="2"/>
      </w:pBdr>
      <w:tabs>
        <w:tab w:val="right" w:pos="9360"/>
      </w:tabs>
    </w:pPr>
    <w:r>
      <w:rPr>
        <w:rFonts w:ascii="Arial" w:cs="Arial" w:eastAsia="Arial" w:hAnsi="Arial"/>
        <w:color w:val="CCCCCC"/>
        <w:sz w:val="16"/>
        <w:szCs w:val="16"/>
      </w:rPr>
      <w:t xml:space="preserve">© 2025 PT Equity Life Indonesia — Enterprise Architecture Program</w:t>
    </w:r>
    <w:r>
      <w:rPr>
        <w:rFonts w:ascii="Arial" w:cs="Arial" w:eastAsia="Arial" w:hAnsi="Arial"/>
        <w:color w:val="CCCCCC"/>
        <w:sz w:val="16"/>
        <w:szCs w:val="16"/>
      </w:rPr>
      <w:t xml:space="preserve">	Hal.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1837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E31837"/>
        <w:sz w:val="18"/>
        <w:szCs w:val="18"/>
      </w:rPr>
      <w:t xml:space="preserve">PT Equity Life Indonesia  |  </w:t>
    </w:r>
    <w:r>
      <w:rPr>
        <w:rFonts w:ascii="Arial" w:cs="Arial" w:eastAsia="Arial" w:hAnsi="Arial"/>
        <w:color w:val="1A2647"/>
        <w:sz w:val="18"/>
        <w:szCs w:val="18"/>
      </w:rPr>
      <w:t xml:space="preserve">EA-DOC-13: Technology Standards Catalog</w:t>
    </w:r>
    <w:r>
      <w:rPr>
        <w:rFonts w:ascii="Arial" w:cs="Arial" w:eastAsia="Arial" w:hAnsi="Arial"/>
        <w:color w:val="CCCCCC"/>
        <w:sz w:val="16"/>
        <w:szCs w:val="16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E31837" w:sz="6" w:space="4"/>
      </w:pBdr>
      <w:spacing w:after="120" w:before="260"/>
      <w:outlineLvl w:val="1"/>
    </w:pPr>
    <w:rPr>
      <w:rFonts w:ascii="Arial" w:cs="Arial" w:eastAsia="Arial" w:hAnsi="Arial"/>
      <w:b/>
      <w:bCs/>
      <w:color w:val="1A26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318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2026-04-07T02:54:27.225Z</dcterms:created>
  <dcterms:modified xsi:type="dcterms:W3CDTF">2026-04-07T02:54:27.225Z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