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31837" w:val="clear"/>
        <w:spacing w:after="0" w:before="0"/>
        <w:ind w:left="360" w:right="360"/>
      </w:pPr>
      <w:r>
        <w:rPr>
          <w:rFonts w:ascii="Arial" w:cs="Arial" w:eastAsia="Arial" w:hAnsi="Arial"/>
          <w:b/>
          <w:bCs/>
          <w:color w:val="FFFFFF"/>
          <w:sz w:val="48"/>
          <w:szCs w:val="48"/>
        </w:rPr>
        <w:t xml:space="preserve">ENTERPRISE ARCHITECTURE PROGRAM CHARTER</w:t>
      </w:r>
    </w:p>
    <w:p>
      <w:pPr>
        <w:shd w:fill="1A2647" w:val="clear"/>
        <w:spacing w:after="240" w:before="0"/>
        <w:ind w:left="360" w:right="360"/>
      </w:pPr>
      <w:r>
        <w:rPr>
          <w:rFonts w:ascii="Arial" w:cs="Arial" w:eastAsia="Arial" w:hAnsi="Arial"/>
          <w:color w:val="BFC5D4"/>
          <w:sz w:val="22"/>
          <w:szCs w:val="22"/>
        </w:rPr>
        <w:t xml:space="preserve">Digital Transformation Initiative — PT Equity Life Indonesia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Nomor Dokumen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ELI-EA-CHARTER-2025-001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Versi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 — Diratifikasi</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Tanggal Berlaku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April 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Architecture Sponsor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Presiden Direktur PT Equity Life Indonesia</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Chief Enterprise Architect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[Nama CEA]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Budget Program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Rp 65 Miliar (2025–2027)</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Durasi 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April 2025 — Desember 2027 (33 bulan)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Diratifikasi Oleh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Presiden Direktur, CTO, CFO</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1. LATAR BELAKANG &amp; JUSTIFIKASI</w:t>
      </w:r>
    </w:p>
    <w:p>
      <w:pPr>
        <w:spacing w:after="60" w:before="60"/>
      </w:pPr>
      <w:r>
        <w:rPr>
          <w:rFonts w:ascii="Arial" w:cs="Arial" w:eastAsia="Arial" w:hAnsi="Arial"/>
          <w:color w:val="2D2D2D"/>
          <w:sz w:val="22"/>
          <w:szCs w:val="22"/>
        </w:rPr>
        <w:t xml:space="preserve">PT Equity Life Indonesia menghadapi tekanan ganda: transformasi digital yang makin mendesak dari sisi pasar dan pelanggan, serta peningkatan keketatan regulasi dari OJK. Sistem teknologi yang ada saat ini — yang sebagian besar dibangun lebih dari 10 tahun lalu — tidak lagi mampu mendukung ambisi pertumbuhan perusahaan dan tuntutan compliance yang terus berkembang.</w:t>
      </w:r>
    </w:p>
    <w:p>
      <w:pPr>
        <w:spacing w:after="60" w:before="60"/>
      </w:pPr>
      <w:r>
        <w:rPr>
          <w:rFonts w:ascii="Arial" w:cs="Arial" w:eastAsia="Arial" w:hAnsi="Arial"/>
          <w:color w:val="2D2D2D"/>
          <w:sz w:val="22"/>
          <w:szCs w:val="22"/>
        </w:rPr>
        <w:t xml:space="preserve">Program Enterprise Architecture (EA) ini adalah inisiatif strategis untuk meletakkan fondasi teknologi yang tepat bagi PT Equity Life Indonesia menuju 2028 — bukan sekadar upgrade sistem, melainkan transformasi holistik yang menyelaraskan teknologi dengan strategi bisnis jangka panjang.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E8EAF0" w:val="clear"/>
            <w:tcMar>
              <w:top w:type="dxa" w:w="120"/>
              <w:left w:type="dxa" w:w="200"/>
              <w:bottom w:type="dxa" w:w="120"/>
              <w:right w:type="dxa" w:w="200"/>
            </w:tcMar>
          </w:tcPr>
          <w:p>
            <w:r>
              <w:rPr>
                <w:rFonts w:ascii="Arial" w:cs="Arial" w:eastAsia="Arial" w:hAnsi="Arial"/>
                <w:b/>
                <w:bCs/>
                <w:color w:val="1A2647"/>
                <w:sz w:val="22"/>
                <w:szCs w:val="22"/>
              </w:rPr>
              <w:t xml:space="preserve">Mengapa EA dan Bukan Hanya Proyek IT Biasa?</w:t>
            </w:r>
          </w:p>
          <w:p>
            <w:pPr>
              <w:spacing w:before="60"/>
            </w:pPr>
            <w:r>
              <w:rPr>
                <w:rFonts w:ascii="Arial" w:cs="Arial" w:eastAsia="Arial" w:hAnsi="Arial"/>
                <w:color w:val="2D2D2D"/>
                <w:sz w:val="21"/>
                <w:szCs w:val="21"/>
              </w:rPr>
              <w:t xml:space="preserve">Program EA berbeda dari proyek IT biasa karena EA mendefinisikan "MENGAPA" dan "BAGAIMANA" di level organisasi sebelum "APA" yang harus dibangun. Tanpa EA, PT Equity Life Indonesia berisiko membangun sistem baru yang canggih namun tidak terintegrasi, tidak scalable, atau tidak sesuai arah strategis bisnis — mengulangi masalah yang sama hanya dengan teknologi yang lebih mahal.</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2. VISI, MISI, &amp; TUJUAN PROGRAM</w:t>
      </w:r>
    </w:p>
    <w:p>
      <w:pPr>
        <w:pStyle w:val="Heading3"/>
        <w:spacing w:after="80" w:before="180"/>
      </w:pPr>
      <w:r>
        <w:rPr>
          <w:rFonts w:ascii="Arial" w:cs="Arial" w:eastAsia="Arial" w:hAnsi="Arial"/>
          <w:b/>
          <w:bCs/>
          <w:color w:val="E31837"/>
          <w:sz w:val="24"/>
          <w:szCs w:val="24"/>
        </w:rPr>
        <w:t xml:space="preserve">2.1 Visi</w:t>
      </w:r>
    </w:p>
    <w:p>
      <w:pPr>
        <w:spacing w:after="60" w:before="60"/>
      </w:pPr>
      <w:r>
        <w:rPr>
          <w:rFonts w:ascii="Arial" w:cs="Arial" w:eastAsia="Arial" w:hAnsi="Arial"/>
          <w:color w:val="2D2D2D"/>
          <w:sz w:val="22"/>
          <w:szCs w:val="22"/>
        </w:rPr>
        <w:t xml:space="preserve">PT Equity Life Indonesia menjadi perusahaan asuransi digital terkemuka di Indonesia dengan fondasi teknologi yang aman, efisien, dan mampu mendukung 10 juta nasabah pada 2030.</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2.2 Misi Program EA</w:t>
      </w:r>
    </w:p>
    <w:p>
      <w:pPr>
        <w:pStyle w:val="ListParagraph"/>
        <w:numPr>
          <w:ilvl w:val="0"/>
          <w:numId w:val="2"/>
        </w:numPr>
        <w:spacing w:after="40" w:before="40"/>
      </w:pPr>
      <w:r>
        <w:rPr>
          <w:rFonts w:ascii="Arial" w:cs="Arial" w:eastAsia="Arial" w:hAnsi="Arial"/>
          <w:color w:val="2D2D2D"/>
          <w:sz w:val="22"/>
          <w:szCs w:val="22"/>
        </w:rPr>
        <w:t xml:space="preserve">Membangun tata kelola arsitektur IT yang terstruktur dan berkelanjutan</w:t>
      </w:r>
    </w:p>
    <w:p>
      <w:pPr>
        <w:pStyle w:val="ListParagraph"/>
        <w:numPr>
          <w:ilvl w:val="0"/>
          <w:numId w:val="2"/>
        </w:numPr>
        <w:spacing w:after="40" w:before="40"/>
      </w:pPr>
      <w:r>
        <w:rPr>
          <w:rFonts w:ascii="Arial" w:cs="Arial" w:eastAsia="Arial" w:hAnsi="Arial"/>
          <w:color w:val="2D2D2D"/>
          <w:sz w:val="22"/>
          <w:szCs w:val="22"/>
        </w:rPr>
        <w:t xml:space="preserve">Merancang target arsitektur enterprise yang menyelaraskan bisnis dan teknologi</w:t>
      </w:r>
    </w:p>
    <w:p>
      <w:pPr>
        <w:pStyle w:val="ListParagraph"/>
        <w:numPr>
          <w:ilvl w:val="0"/>
          <w:numId w:val="2"/>
        </w:numPr>
        <w:spacing w:after="40" w:before="40"/>
      </w:pPr>
      <w:r>
        <w:rPr>
          <w:rFonts w:ascii="Arial" w:cs="Arial" w:eastAsia="Arial" w:hAnsi="Arial"/>
          <w:color w:val="2D2D2D"/>
          <w:sz w:val="22"/>
          <w:szCs w:val="22"/>
        </w:rPr>
        <w:t xml:space="preserve">Mengeksekusi transformasi teknologi secara bertahap dan terukur</w:t>
      </w:r>
    </w:p>
    <w:p>
      <w:pPr>
        <w:pStyle w:val="ListParagraph"/>
        <w:numPr>
          <w:ilvl w:val="0"/>
          <w:numId w:val="2"/>
        </w:numPr>
        <w:spacing w:after="40" w:before="40"/>
      </w:pPr>
      <w:r>
        <w:rPr>
          <w:rFonts w:ascii="Arial" w:cs="Arial" w:eastAsia="Arial" w:hAnsi="Arial"/>
          <w:color w:val="2D2D2D"/>
          <w:sz w:val="22"/>
          <w:szCs w:val="22"/>
        </w:rPr>
        <w:t xml:space="preserve">Meningkatkan EA maturity dari Level 1 ke Level 3 dalam 2 tahun</w:t>
      </w:r>
    </w:p>
    <w:p>
      <w:pPr>
        <w:spacing w:after="80" w:before="80"/>
      </w:pPr>
      <w:r>
        <w:t xml:space="preserve"/>
      </w:r>
    </w:p>
    <w:p>
      <w:pPr>
        <w:pStyle w:val="Heading3"/>
        <w:spacing w:after="80" w:before="180"/>
      </w:pPr>
      <w:r>
        <w:rPr>
          <w:rFonts w:ascii="Arial" w:cs="Arial" w:eastAsia="Arial" w:hAnsi="Arial"/>
          <w:b/>
          <w:bCs/>
          <w:color w:val="E31837"/>
          <w:sz w:val="24"/>
          <w:szCs w:val="24"/>
        </w:rPr>
        <w:t xml:space="preserve">2.3 Tujuan Terukur (SMART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000"/>
        <w:gridCol w:w="3960"/>
      </w:tblGrid>
      <w:tr>
        <w:trPr>
          <w:tblHeader/>
        </w:trPr>
        <w:tc>
          <w:tcPr>
            <w:tcW w:type="dxa" w:w="2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Tujuan</w:t>
            </w:r>
          </w:p>
        </w:tc>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1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39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 Pengukur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Availability sistem core mencapai 99.9%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99.9% uptime/tahun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Q4 2025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Monitoring uptime — Prometheus/Grafana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Time-to-market produk baru &lt; 6 minggu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 minggu (dari 6 bulan)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Q4 2025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Avg lead time produk baru (tracking Jira)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40% penjualan via digital 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40% dari total APE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Q4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Sales report per channel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Klaim diproses &lt; 1 hari (standar)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&lt; 1 hari untuk klaim lurus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Q2 2026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Average claims processing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100% regulatory reporting otomatis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Zero manual OJK report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Q1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OJK submission log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ISO 27001 certification tercapai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Certification diterima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Q1 2026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Certificate dari badan sertifikasi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Maturity Level 3 tercapai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Skor 3.0+ / 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Q4 2027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Maturity Assessment annual</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3. STRUKTUR ORGANISASI EA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8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Penanggung Jawab</w:t>
            </w:r>
          </w:p>
        </w:tc>
        <w:tc>
          <w:tcPr>
            <w:tcW w:type="dxa" w:w="3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Tanggung Jawab Utama</w:t>
            </w:r>
          </w:p>
        </w:tc>
        <w:tc>
          <w:tcPr>
            <w:tcW w:type="dxa" w:w="8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Sponsor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Presiden Direktur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Sponsor eksekutif, keputusan strategis, budget approval</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Chief Enterprise Architect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[Nama CEA]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Program leadership, ARB chairman, stakeholder management</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 Architect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 capability modeling, process redesign</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Application Architect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Application portfolio, API design, microservices design</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Architect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model, MDM, data governance, DWH design</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Security Architect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Security architecture, compliance, threat modeling</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Infrastructure Architect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Cloud strategy, infrastructure design, capacity planning</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Program Manager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Delivery management, reporting, stakeholder coordination</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Change Management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Organizational change, training, communication</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0.5</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4. DELIVERABLES PROGRAM 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300"/>
        <w:gridCol w:w="1000"/>
        <w:gridCol w:w="1160"/>
      </w:tblGrid>
      <w:tr>
        <w:trPr>
          <w:tblHeader/>
        </w:trPr>
        <w:tc>
          <w:tcPr>
            <w:tcW w:type="dxa" w:w="6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Dokumen / Deliverable</w:t>
            </w:r>
          </w:p>
        </w:tc>
        <w:tc>
          <w:tcPr>
            <w:tcW w:type="dxa" w:w="13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TOGAF Phase</w:t>
            </w:r>
          </w:p>
        </w:tc>
        <w:tc>
          <w:tcPr>
            <w:tcW w:type="dxa" w:w="1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Due Date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Principles Catalog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Preliminary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EA-02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Vision &amp; SOAW</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Business Architecture Document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EA-04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Information Architecture Document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C</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Application Architecture Document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EA-06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Technology Architecture Document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Gap Analysis &amp; Architecture Roadmap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EA-08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Transition Architecture Document</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F</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EA-09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Governance Framework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Contract (per proyek)</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Maturity Assessment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EA-12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IT Architecture Risk Register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Technology Standards Catalog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Cross-cutting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EA-14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Program Charter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Preliminary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SELESAI</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Architecture Health Check Reports (quarterly)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Ongoing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EA-16</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Maturity Reassessment (annual)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PLANNED</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Q1 2026, Q1 2027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Updated Architecture Baseline (per program phase)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Phases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PLANNED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Setiap phase selesai</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5. BUDGET &amp; RESOURCE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2060"/>
      </w:tblGrid>
      <w:tr>
        <w:trPr>
          <w:tblHeader/>
        </w:trPr>
        <w:tc>
          <w:tcPr>
            <w:tcW w:type="dxa" w:w="25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Komponen Budget</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(Rp)</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2026 (Rp)</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2027 (Rp)</w:t>
            </w:r>
          </w:p>
        </w:tc>
        <w:tc>
          <w:tcPr>
            <w:tcW w:type="dxa" w:w="1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(Rp)</w:t>
            </w:r>
          </w:p>
        </w:tc>
        <w:tc>
          <w:tcPr>
            <w:tcW w:type="dxa" w:w="20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Catatan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Team (Salaries + Benefits)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3.5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3.5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Miliar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6 FTE EA team + 2 kontrak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Tooling (LeanIX/Ardoq, Jira, Confluence)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500 Juta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500 Juta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500 Juta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1.5 Miliar</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SaaS + on-premise tools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External Consultant &amp;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500 Juta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500 Juta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Miliar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TOGAF consulting, maturity assessment, ISO audit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Training &amp; Certification (TOGAF, Cloud, Security)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500 Juta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300 Juta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200 Juta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 Miliar</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TOGAF Foundation + Practitioner untuk EA team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Platform &amp; Infrastructure (Phase 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 Miliar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Cloud, Kubernetes, Security tools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Application Development (Phase 1–4)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 Miliar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12 Miliar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8 Miliar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25 Miliar</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Internal dev + vendor augmentation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Contingency (10%)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3.2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1.8 Miliar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 Miliar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 dari total non-EA team budget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22 Miliar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35 Miliar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19.5 Miliar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76.5 Miliar</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Termasuk contingency, belum termasuk PPN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31837" w:sz="1"/>
              <w:left w:val="single" w:color="E31837" w:sz="12"/>
              <w:bottom w:val="single" w:color="E31837" w:sz="1"/>
              <w:right w:val="single" w:color="E31837" w:sz="1"/>
            </w:tcBorders>
            <w:shd w:fill="E0F4F2" w:val="clear"/>
            <w:tcMar>
              <w:top w:type="dxa" w:w="120"/>
              <w:left w:type="dxa" w:w="200"/>
              <w:bottom w:type="dxa" w:w="120"/>
              <w:right w:type="dxa" w:w="200"/>
            </w:tcMar>
          </w:tcPr>
          <w:p>
            <w:r>
              <w:rPr>
                <w:rFonts w:ascii="Arial" w:cs="Arial" w:eastAsia="Arial" w:hAnsi="Arial"/>
                <w:b/>
                <w:bCs/>
                <w:color w:val="0A7C6E"/>
                <w:sz w:val="22"/>
                <w:szCs w:val="22"/>
              </w:rPr>
              <w:t xml:space="preserve">Expected ROI</w:t>
            </w:r>
          </w:p>
          <w:p>
            <w:pPr>
              <w:spacing w:before="60"/>
            </w:pPr>
            <w:r>
              <w:rPr>
                <w:rFonts w:ascii="Arial" w:cs="Arial" w:eastAsia="Arial" w:hAnsi="Arial"/>
                <w:color w:val="2D2D2D"/>
                <w:sz w:val="21"/>
                <w:szCs w:val="21"/>
              </w:rPr>
              <w:t xml:space="preserve">Proyeksi penghematan operasional: Rp 12 Miliar/tahun (mulai 2026) dari otomasi proses manual, pengurangan downtime, dan efisiensi IT. Proyeksi pendapatan tambahan dari digital channel: Rp 35–50 Miliar/tahun (mulai 2027). Payback period estimasi: 18–24 bulan setelah program selesai.</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6. PROGRAM GOVERNANCE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Forum</w:t>
            </w:r>
          </w:p>
        </w:tc>
        <w:tc>
          <w:tcPr>
            <w:tcW w:type="dxa" w:w="22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Peserta</w:t>
            </w:r>
          </w:p>
        </w:tc>
        <w:tc>
          <w:tcPr>
            <w:tcW w:type="dxa" w:w="280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Agenda Utama</w:t>
            </w:r>
          </w:p>
        </w:tc>
        <w:tc>
          <w:tcPr>
            <w:tcW w:type="dxa" w:w="2360"/>
            <w:tcBorders>
              <w:top w:val="single" w:color="CCCCCC" w:sz="1"/>
              <w:left w:val="single" w:color="CCCCCC" w:sz="1"/>
              <w:bottom w:val="single" w:color="CCCCCC" w:sz="1"/>
              <w:right w:val="single" w:color="CCCCCC" w:sz="1"/>
            </w:tcBorders>
            <w:shd w:fill="1A264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Frekuensi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Program Steering Committee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Presiden Direktur, CTO, CFO, CEA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Strategic decisions, budget approval, executive escalations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Bulanan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Review Board (ARB)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CTO, CEA, Security Architect, Business Architect, IT Leads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Architecture review, ADR approval, standards updates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 minggu sekali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Team Working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 Team (6 FTE)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Delivery tracking, artifact creation, issue resolution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Mingguan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Forum (Stakeholder)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Semua IT leads, business stakeholders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 updates, architecture showcase, feedback collection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Bulanan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Technology Council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CEA, Infra Architect, Security Architect, Dev Leads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Technology standards review, new tech evaluation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Quarterly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BOD IT Update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Board of Directors + CTO + CEA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High-level EA progress, strategic alignment, risk escalation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Quarterly</w:t>
            </w:r>
          </w:p>
        </w:tc>
      </w:tr>
    </w:tbl>
    <w:p>
      <w:pPr>
        <w:spacing w:after="80" w:before="80"/>
      </w:pPr>
      <w:r>
        <w:t xml:space="preserve"/>
      </w:r>
    </w:p>
    <w:p>
      <w:pPr>
        <w:pStyle w:val="Heading2"/>
        <w:pBdr>
          <w:bottom w:val="single" w:color="E31837" w:sz="6" w:space="4"/>
        </w:pBdr>
        <w:spacing w:after="120" w:before="280"/>
      </w:pPr>
      <w:r>
        <w:rPr>
          <w:rFonts w:ascii="Arial" w:cs="Arial" w:eastAsia="Arial" w:hAnsi="Arial"/>
          <w:b/>
          <w:bCs/>
          <w:color w:val="1A2647"/>
          <w:sz w:val="28"/>
          <w:szCs w:val="28"/>
        </w:rPr>
        <w:t xml:space="preserve">7. PERSETUJUAN CHARTER</w:t>
      </w:r>
    </w:p>
    <w:p>
      <w:pPr>
        <w:spacing w:after="80" w:before="80"/>
      </w:pPr>
      <w:r>
        <w:t xml:space="preserve"/>
      </w:r>
    </w:p>
    <w:p>
      <w:pPr>
        <w:spacing w:after="60" w:before="60"/>
      </w:pPr>
      <w:r>
        <w:rPr>
          <w:rFonts w:ascii="Arial" w:cs="Arial" w:eastAsia="Arial" w:hAnsi="Arial"/>
          <w:color w:val="2D2D2D"/>
          <w:sz w:val="22"/>
          <w:szCs w:val="22"/>
        </w:rPr>
        <w:t xml:space="preserve">Dengan menandatangani dokumen ini, para pihak menyatakan komitmen penuh terhadap program Enterprise Architecture PT Equity Life Indonesia, termasuk penyediaan sumber daya yang diperlukan, dukungan pengambilan keputusan yang tepat waktu, dan kepatuhan terhadap governance yang ditetapkan.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Presiden Direktur (Architecture Sponsor)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Chief Technology Officer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Chief Financial Officer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647"/>
                <w:sz w:val="20"/>
                <w:szCs w:val="20"/>
              </w:rPr>
              <w:t xml:space="preserve">Chief Risk Officer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r>
        <w:tc>
          <w:tcPr>
            <w:tcW w:type="dxa" w:w="300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647"/>
                <w:sz w:val="20"/>
                <w:szCs w:val="20"/>
              </w:rPr>
              <w:t xml:space="preserve">Chief Enterprise Architect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______________________________  Tanggal: ____________</w:t>
            </w:r>
          </w:p>
        </w:tc>
      </w:tr>
    </w:tbl>
    <w:p>
      <w:pPr>
        <w:spacing w:after="80" w:before="8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1837" w:sz="4" w:space="2"/>
      </w:pBdr>
      <w:tabs>
        <w:tab w:val="right" w:pos="9360"/>
      </w:tabs>
    </w:pPr>
    <w:r>
      <w:rPr>
        <w:rFonts w:ascii="Arial" w:cs="Arial" w:eastAsia="Arial" w:hAnsi="Arial"/>
        <w:color w:val="CCCCCC"/>
        <w:sz w:val="16"/>
        <w:szCs w:val="16"/>
      </w:rPr>
      <w:t xml:space="preserve">© 2025 PT Equity Life Indonesia — Enterprise Architecture Program</w:t>
    </w:r>
    <w:r>
      <w:rPr>
        <w:rFonts w:ascii="Arial" w:cs="Arial" w:eastAsia="Arial" w:hAnsi="Arial"/>
        <w:color w:val="CCCCCC"/>
        <w:sz w:val="16"/>
        <w:szCs w:val="16"/>
      </w:rPr>
      <w:t xml:space="preserve">	Hal.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4" w:space="2"/>
      </w:pBdr>
      <w:tabs>
        <w:tab w:val="right" w:pos="9360"/>
      </w:tabs>
    </w:pPr>
    <w:r>
      <w:rPr>
        <w:rFonts w:ascii="Arial" w:cs="Arial" w:eastAsia="Arial" w:hAnsi="Arial"/>
        <w:b/>
        <w:bCs/>
        <w:color w:val="E31837"/>
        <w:sz w:val="18"/>
        <w:szCs w:val="18"/>
      </w:rPr>
      <w:t xml:space="preserve">PT Equity Life Indonesia  |  </w:t>
    </w:r>
    <w:r>
      <w:rPr>
        <w:rFonts w:ascii="Arial" w:cs="Arial" w:eastAsia="Arial" w:hAnsi="Arial"/>
        <w:color w:val="1A2647"/>
        <w:sz w:val="18"/>
        <w:szCs w:val="18"/>
      </w:rPr>
      <w:t xml:space="preserve">EA-DOC-14: EA Program Charter</w:t>
    </w:r>
    <w:r>
      <w:rPr>
        <w:rFonts w:ascii="Arial" w:cs="Arial" w:eastAsia="Arial" w:hAnsi="Arial"/>
        <w:color w:val="CCCCCC"/>
        <w:sz w:val="16"/>
        <w:szCs w:val="16"/>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E31837" w:sz="6" w:space="4"/>
      </w:pBdr>
      <w:spacing w:after="120" w:before="260"/>
      <w:outlineLvl w:val="1"/>
    </w:pPr>
    <w:rPr>
      <w:rFonts w:ascii="Arial" w:cs="Arial" w:eastAsia="Arial" w:hAnsi="Arial"/>
      <w:b/>
      <w:bCs/>
      <w:color w:val="1A26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318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2026-04-07T02:54:27.274Z</dcterms:created>
  <dcterms:modified xsi:type="dcterms:W3CDTF">2026-04-07T02:54:27.274Z</dcterms:modified>
</cp:coreProperties>
</file>

<file path=docProps/custom.xml><?xml version="1.0" encoding="utf-8"?>
<Properties xmlns="http://schemas.openxmlformats.org/officeDocument/2006/custom-properties" xmlns:vt="http://schemas.openxmlformats.org/officeDocument/2006/docPropsVTypes"/>
</file>