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EDI Group Technology Forum</w:t>
      </w:r>
    </w:p>
    <w:p/>
    <w:p>
      <w:pPr>
        <w:jc w:val="center"/>
      </w:pPr>
      <w:r>
        <w:rPr>
          <w:color w:val="006699"/>
          <w:sz w:val="32"/>
        </w:rPr>
        <w:t>Charter &amp; Governance Framework</w:t>
      </w:r>
    </w:p>
    <w:p/>
    <w:p/>
    <w:p/>
    <w:p>
      <w:r>
        <w:t>Document Version: 1.0</w:t>
      </w:r>
    </w:p>
    <w:p>
      <w:r>
        <w:t>Date: April 09, 2026</w:t>
      </w:r>
    </w:p>
    <w:p>
      <w:r>
        <w:t>Organization: EDI Group</w:t>
      </w:r>
    </w:p>
    <w:p>
      <w:r>
        <w:t>Classification: Internal Use</w:t>
      </w:r>
    </w:p>
    <w:p>
      <w:r>
        <w:t>Status: Active</w:t>
      </w:r>
    </w:p>
    <w:p>
      <w:r>
        <w:br w:type="page"/>
      </w:r>
    </w:p>
    <w:p>
      <w:r>
        <w:rPr>
          <w:b/>
        </w:rP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Forum Purpose and Objectives</w:t>
      </w:r>
    </w:p>
    <w:p>
      <w:pPr>
        <w:pStyle w:val="ListNumber"/>
      </w:pPr>
      <w:r>
        <w:t>3. Governance Structure</w:t>
      </w:r>
    </w:p>
    <w:p>
      <w:pPr>
        <w:pStyle w:val="ListNumber"/>
      </w:pPr>
      <w:r>
        <w:t>4. Roles and Responsibilities</w:t>
      </w:r>
    </w:p>
    <w:p>
      <w:pPr>
        <w:pStyle w:val="ListNumber"/>
      </w:pPr>
      <w:r>
        <w:t>5. Decision-Making Framework</w:t>
      </w:r>
    </w:p>
    <w:p>
      <w:pPr>
        <w:pStyle w:val="ListNumber"/>
      </w:pPr>
      <w:r>
        <w:t>6. Meeting Schedule and Procedures</w:t>
      </w:r>
    </w:p>
    <w:p>
      <w:pPr>
        <w:pStyle w:val="ListNumber"/>
      </w:pPr>
      <w:r>
        <w:t>7. Escalation and Conflict Resolution</w:t>
      </w:r>
    </w:p>
    <w:p>
      <w:pPr>
        <w:pStyle w:val="ListNumber"/>
      </w:pPr>
      <w:r>
        <w:t>8. Performance Measurement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1. EXECUTIVE SUMMARY</w:t>
      </w:r>
    </w:p>
    <w:p>
      <w:r>
        <w:t>The EDI Group Technology Forum is established as a strategic governance body to facilitate technology alignment, knowledge sharing, and ecosystem enablement across all EDI Group subsidiaries. This charter defines the Forum's authority, structure, and operating principles.</w:t>
      </w:r>
    </w:p>
    <w:p>
      <w:pPr>
        <w:pStyle w:val="Heading1"/>
      </w:pPr>
      <w:r>
        <w:rPr>
          <w:b/>
          <w:color w:val="003366"/>
          <w:sz w:val="28"/>
        </w:rPr>
        <w:t>2. FORUM PURPOSE AND OBJECTIVES</w:t>
      </w:r>
    </w:p>
    <w:p>
      <w:pPr>
        <w:pStyle w:val="Heading2"/>
      </w:pPr>
      <w:r>
        <w:rPr>
          <w:b/>
          <w:color w:val="006699"/>
          <w:sz w:val="24"/>
        </w:rPr>
        <w:t>2.1 Primary Purpose</w:t>
      </w:r>
    </w:p>
    <w:p>
      <w:r>
        <w:t>To enhance group-wide technology resilience, strengthen capability alignment, and accelerate innovation through structured knowledge exchange and collaborative problem-solving across all EDI Group subsidiaries.</w:t>
      </w:r>
    </w:p>
    <w:p>
      <w:pPr>
        <w:pStyle w:val="Heading2"/>
      </w:pPr>
      <w:r>
        <w:rPr>
          <w:b/>
          <w:color w:val="006699"/>
          <w:sz w:val="24"/>
        </w:rPr>
        <w:t>2.2 Strategic Objectives</w:t>
      </w:r>
    </w:p>
    <w:p>
      <w:pPr>
        <w:pStyle w:val="ListBullet"/>
      </w:pPr>
      <w:r>
        <w:t>Enhance resilience, security, and innovation capability across the Group</w:t>
      </w:r>
    </w:p>
    <w:p>
      <w:pPr>
        <w:pStyle w:val="ListBullet"/>
      </w:pPr>
      <w:r>
        <w:t>Strengthen technology alignment and reduce duplication of effort</w:t>
      </w:r>
    </w:p>
    <w:p>
      <w:pPr>
        <w:pStyle w:val="ListBullet"/>
      </w:pPr>
      <w:r>
        <w:t>Enable structured knowledge sharing and peer learning</w:t>
      </w:r>
    </w:p>
    <w:p>
      <w:pPr>
        <w:pStyle w:val="ListBullet"/>
      </w:pPr>
      <w:r>
        <w:t>Identify collaboration and ecosystem opportunities</w:t>
      </w:r>
    </w:p>
    <w:p>
      <w:pPr>
        <w:pStyle w:val="ListBullet"/>
      </w:pPr>
      <w:r>
        <w:t>Reduce technology risk and implementation risk through shared learning</w:t>
      </w:r>
    </w:p>
    <w:p>
      <w:pPr>
        <w:pStyle w:val="ListBullet"/>
      </w:pPr>
      <w:r>
        <w:t>Accelerate adoption of best practices and industry standards</w:t>
      </w:r>
    </w:p>
    <w:p>
      <w:pPr>
        <w:pStyle w:val="Heading1"/>
      </w:pPr>
      <w:r>
        <w:rPr>
          <w:b/>
          <w:color w:val="003366"/>
          <w:sz w:val="28"/>
        </w:rPr>
        <w:t>3. GOVERNANCE STRUCTURE</w:t>
      </w:r>
    </w:p>
    <w:p>
      <w:pPr>
        <w:pStyle w:val="Heading2"/>
      </w:pPr>
      <w:r>
        <w:rPr>
          <w:b/>
          <w:color w:val="006699"/>
          <w:sz w:val="24"/>
        </w:rPr>
        <w:t>3.1 Forum Composition</w:t>
      </w:r>
    </w:p>
    <w:p>
      <w:r>
        <w:t>The Forum comprises IT leadership representatives from all EDI Group subsidiaries and is facilitated by EDI Group Technology team.</w:t>
      </w:r>
    </w:p>
    <w:p>
      <w:pPr>
        <w:pStyle w:val="Heading3"/>
      </w:pPr>
      <w:r>
        <w:t>Governance Roles</w:t>
      </w:r>
    </w:p>
    <w:p>
      <w:r>
        <w:t>Forum Chair - Oversees forum strategy, sets agenda, drives alignment</w:t>
      </w:r>
    </w:p>
    <w:p>
      <w:r>
        <w:t>EDI Group Technology Lead - Facilitates discussions, coordinates topics, provides group visibility</w:t>
      </w:r>
    </w:p>
    <w:p>
      <w:r>
        <w:t>Subsidiary IT Leaders - Share strategies, identify opportunities, contribute to discussions</w:t>
      </w:r>
    </w:p>
    <w:p>
      <w:r>
        <w:t>Working Group Leads - Drive specific initiatives (Security, Cloud, Data, etc.)</w:t>
      </w:r>
    </w:p>
    <w:p>
      <w:pPr>
        <w:pStyle w:val="Heading2"/>
      </w:pPr>
      <w:r>
        <w:rPr>
          <w:b/>
          <w:color w:val="006699"/>
          <w:sz w:val="24"/>
        </w:rPr>
        <w:t>3.2 Meeting Structure</w:t>
      </w:r>
    </w:p>
    <w:p>
      <w:pPr>
        <w:pStyle w:val="ListBullet"/>
      </w:pPr>
      <w:r>
        <w:t>Annual Session: Subsidiary IT strategy sharing and alignment</w:t>
      </w:r>
    </w:p>
    <w:p>
      <w:pPr>
        <w:pStyle w:val="ListBullet"/>
      </w:pPr>
      <w:r>
        <w:t>Monthly Meetings: Strategic knowledge sharing and focused discussions</w:t>
      </w:r>
    </w:p>
    <w:p>
      <w:pPr>
        <w:pStyle w:val="ListBullet"/>
      </w:pPr>
      <w:r>
        <w:t>Working Groups: Topic-specific deep dives as needed</w:t>
      </w:r>
    </w:p>
    <w:p>
      <w:pPr>
        <w:pStyle w:val="Heading1"/>
      </w:pPr>
      <w:r>
        <w:rPr>
          <w:b/>
          <w:color w:val="003366"/>
          <w:sz w:val="28"/>
        </w:rPr>
        <w:t>4. ROLES AND RESPONSIBILITIES</w:t>
      </w:r>
    </w:p>
    <w:p>
      <w:pPr>
        <w:pStyle w:val="Heading2"/>
      </w:pPr>
      <w:r>
        <w:rPr>
          <w:b/>
          <w:color w:val="006699"/>
          <w:sz w:val="24"/>
        </w:rPr>
        <w:t>4.1 EDI Group Technology</w:t>
      </w:r>
    </w:p>
    <w:p>
      <w:pPr>
        <w:pStyle w:val="ListBullet"/>
      </w:pPr>
      <w:r>
        <w:t>Facilitate and coordinate all forum meetings and working groups</w:t>
      </w:r>
    </w:p>
    <w:p>
      <w:pPr>
        <w:pStyle w:val="ListBullet"/>
      </w:pPr>
      <w:r>
        <w:t>Establish agenda based on subsidiary priorities and group-level needs</w:t>
      </w:r>
    </w:p>
    <w:p>
      <w:pPr>
        <w:pStyle w:val="ListBullet"/>
      </w:pPr>
      <w:r>
        <w:t>Maintain forum documentation and knowledge repository</w:t>
      </w:r>
    </w:p>
    <w:p>
      <w:pPr>
        <w:pStyle w:val="ListBullet"/>
      </w:pPr>
      <w:r>
        <w:t>Track action items and ensure accountability</w:t>
      </w:r>
    </w:p>
    <w:p>
      <w:pPr>
        <w:pStyle w:val="ListBullet"/>
      </w:pPr>
      <w:r>
        <w:t>Provide group-level visibility and alignment oversight</w:t>
      </w:r>
    </w:p>
    <w:p>
      <w:pPr>
        <w:pStyle w:val="ListBullet"/>
      </w:pPr>
      <w:r>
        <w:t>Promote cross-entity collaboration initiatives</w:t>
      </w:r>
    </w:p>
    <w:p>
      <w:pPr>
        <w:pStyle w:val="ListBullet"/>
      </w:pPr>
      <w:r>
        <w:t>Monitor compliance with technology governance standards</w:t>
      </w:r>
    </w:p>
    <w:p>
      <w:pPr>
        <w:pStyle w:val="Heading2"/>
      </w:pPr>
      <w:r>
        <w:rPr>
          <w:b/>
          <w:color w:val="006699"/>
          <w:sz w:val="24"/>
        </w:rPr>
        <w:t>4.2 Subsidiary IT Leadership</w:t>
      </w:r>
    </w:p>
    <w:p>
      <w:pPr>
        <w:pStyle w:val="ListBullet"/>
      </w:pPr>
      <w:r>
        <w:t>Share IT strategy, plans, and lessons learned</w:t>
      </w:r>
    </w:p>
    <w:p>
      <w:pPr>
        <w:pStyle w:val="ListBullet"/>
      </w:pPr>
      <w:r>
        <w:t>Identify challenges and opportunities for discussion</w:t>
      </w:r>
    </w:p>
    <w:p>
      <w:pPr>
        <w:pStyle w:val="ListBullet"/>
      </w:pPr>
      <w:r>
        <w:t>Actively participate in knowledge sharing sessions</w:t>
      </w:r>
    </w:p>
    <w:p>
      <w:pPr>
        <w:pStyle w:val="ListBullet"/>
      </w:pPr>
      <w:r>
        <w:t>Contribute to collaborative initiatives</w:t>
      </w:r>
    </w:p>
    <w:p>
      <w:pPr>
        <w:pStyle w:val="ListBullet"/>
      </w:pPr>
      <w:r>
        <w:t>Implement agreed-upon best practices and standards</w:t>
      </w:r>
    </w:p>
    <w:p>
      <w:pPr>
        <w:pStyle w:val="ListBullet"/>
      </w:pPr>
      <w:r>
        <w:t>Report progress on action items</w:t>
      </w:r>
    </w:p>
    <w:p>
      <w:pPr>
        <w:pStyle w:val="Heading1"/>
      </w:pPr>
      <w:r>
        <w:rPr>
          <w:b/>
          <w:color w:val="003366"/>
          <w:sz w:val="28"/>
        </w:rPr>
        <w:t>5. DECISION-MAKING FRAMEWORK</w:t>
      </w:r>
    </w:p>
    <w:p>
      <w:pPr>
        <w:pStyle w:val="Heading2"/>
      </w:pPr>
      <w:r>
        <w:rPr>
          <w:b/>
          <w:color w:val="006699"/>
          <w:sz w:val="24"/>
        </w:rPr>
        <w:t>5.1 Decision Types</w:t>
      </w:r>
    </w:p>
    <w:p>
      <w:pPr>
        <w:pStyle w:val="Heading3"/>
      </w:pPr>
      <w:r>
        <w:t>Decision Authority</w:t>
      </w:r>
    </w:p>
    <w:p>
      <w:r>
        <w:t>Forum governance decisions - Made by Forum Chair + EDI Group Technology with consensus</w:t>
      </w:r>
    </w:p>
    <w:p>
      <w:r>
        <w:t>Working group topics/scope - Made by Relevant Working Group Lead with consensus among members</w:t>
      </w:r>
    </w:p>
    <w:p>
      <w:r>
        <w:t>Group standards/guidelines - Made by Forum + EDI Group CTO with consultation and approval</w:t>
      </w:r>
    </w:p>
    <w:p>
      <w:r>
        <w:t>Individual subsidiary strategies - Made by respective Subsidiary independently</w:t>
      </w:r>
    </w:p>
    <w:p>
      <w:pPr>
        <w:pStyle w:val="Heading1"/>
      </w:pPr>
      <w:r>
        <w:rPr>
          <w:b/>
          <w:color w:val="003366"/>
          <w:sz w:val="28"/>
        </w:rPr>
        <w:t>6. MEETING SCHEDULE AND PROCEDURES</w:t>
      </w:r>
    </w:p>
    <w:p>
      <w:pPr>
        <w:pStyle w:val="Heading2"/>
      </w:pPr>
      <w:r>
        <w:rPr>
          <w:b/>
          <w:color w:val="006699"/>
          <w:sz w:val="24"/>
        </w:rPr>
        <w:t>6.1 Annual Session</w:t>
      </w:r>
    </w:p>
    <w:p>
      <w:r>
        <w:t>Timing: Q2 (typically April/May)</w:t>
      </w:r>
    </w:p>
    <w:p>
      <w:r>
        <w:t>Duration: 2-3 days</w:t>
      </w:r>
    </w:p>
    <w:p>
      <w:r>
        <w:t>Agenda: Each subsidiary presents IT strategy, discusses alignment opportunities</w:t>
      </w:r>
    </w:p>
    <w:p>
      <w:pPr>
        <w:pStyle w:val="Heading2"/>
      </w:pPr>
      <w:r>
        <w:rPr>
          <w:b/>
          <w:color w:val="006699"/>
          <w:sz w:val="24"/>
        </w:rPr>
        <w:t>6.2 Monthly Meetings</w:t>
      </w:r>
    </w:p>
    <w:p>
      <w:r>
        <w:t>Timing: First week of each month</w:t>
      </w:r>
    </w:p>
    <w:p>
      <w:r>
        <w:t>Duration: 1-2 hours</w:t>
      </w:r>
    </w:p>
    <w:p>
      <w:r>
        <w:t>Format: Virtual or hybrid</w:t>
      </w:r>
    </w:p>
    <w:p>
      <w:r>
        <w:t>Agenda: Rotating topics with focused discussions</w:t>
      </w:r>
    </w:p>
    <w:p>
      <w:pPr>
        <w:pStyle w:val="Heading2"/>
      </w:pPr>
      <w:r>
        <w:rPr>
          <w:b/>
          <w:color w:val="006699"/>
          <w:sz w:val="24"/>
        </w:rPr>
        <w:t>6.3 Meeting Procedures</w:t>
      </w:r>
    </w:p>
    <w:p>
      <w:pPr>
        <w:pStyle w:val="ListBullet"/>
      </w:pPr>
      <w:r>
        <w:t>Agenda published 5 business days in advance</w:t>
      </w:r>
    </w:p>
    <w:p>
      <w:pPr>
        <w:pStyle w:val="ListBullet"/>
      </w:pPr>
      <w:r>
        <w:t>Attendance mandatory for assigned representatives</w:t>
      </w:r>
    </w:p>
    <w:p>
      <w:pPr>
        <w:pStyle w:val="ListBullet"/>
      </w:pPr>
      <w:r>
        <w:t>Minutes documented and distributed within 2 business days</w:t>
      </w:r>
    </w:p>
    <w:p>
      <w:pPr>
        <w:pStyle w:val="ListBullet"/>
      </w:pPr>
      <w:r>
        <w:t>Action items tracked in centralized register with owners and due dates</w:t>
      </w:r>
    </w:p>
    <w:p>
      <w:pPr>
        <w:pStyle w:val="ListBullet"/>
      </w:pPr>
      <w:r>
        <w:t>Escalations escalated within 48 hours</w:t>
      </w:r>
    </w:p>
    <w:p>
      <w:pPr>
        <w:pStyle w:val="Heading1"/>
      </w:pPr>
      <w:r>
        <w:rPr>
          <w:b/>
          <w:color w:val="003366"/>
          <w:sz w:val="28"/>
        </w:rPr>
        <w:t>7. ESCALATION AND CONFLICT RESOLUTION</w:t>
      </w:r>
    </w:p>
    <w:p>
      <w:pPr>
        <w:pStyle w:val="Heading2"/>
      </w:pPr>
      <w:r>
        <w:rPr>
          <w:b/>
          <w:color w:val="006699"/>
          <w:sz w:val="24"/>
        </w:rPr>
        <w:t>7.1 Escalation Path</w:t>
      </w:r>
    </w:p>
    <w:p>
      <w:pPr>
        <w:pStyle w:val="ListBullet"/>
      </w:pPr>
      <w:r>
        <w:t>Level 1: Working Group Lead resolution (5 business days)</w:t>
      </w:r>
    </w:p>
    <w:p>
      <w:pPr>
        <w:pStyle w:val="ListBullet"/>
      </w:pPr>
      <w:r>
        <w:t>Level 2: Forum Chair involvement (10 business days)</w:t>
      </w:r>
    </w:p>
    <w:p>
      <w:pPr>
        <w:pStyle w:val="ListBullet"/>
      </w:pPr>
      <w:r>
        <w:t>Level 3: EDI Group CTO review (15 business days)</w:t>
      </w:r>
    </w:p>
    <w:p>
      <w:pPr>
        <w:pStyle w:val="ListBullet"/>
      </w:pPr>
      <w:r>
        <w:t>Level 4: EDI Group Executive Steering Committee (if needed)</w:t>
      </w:r>
    </w:p>
    <w:p>
      <w:pPr>
        <w:pStyle w:val="Heading1"/>
      </w:pPr>
      <w:r>
        <w:rPr>
          <w:b/>
          <w:color w:val="003366"/>
          <w:sz w:val="28"/>
        </w:rPr>
        <w:t>8. PERFORMANCE MEASUREMENT</w:t>
      </w:r>
    </w:p>
    <w:p>
      <w:pPr>
        <w:pStyle w:val="Heading2"/>
      </w:pPr>
      <w:r>
        <w:rPr>
          <w:b/>
          <w:color w:val="006699"/>
          <w:sz w:val="24"/>
        </w:rPr>
        <w:t>8.1 Key Performance Indicators</w:t>
      </w:r>
    </w:p>
    <w:p>
      <w:pPr>
        <w:pStyle w:val="Heading3"/>
      </w:pPr>
      <w:r>
        <w:t>KPI Targets</w:t>
      </w:r>
    </w:p>
    <w:p>
      <w:r>
        <w:t>Forum attendance rate: Target ≥90%</w:t>
      </w:r>
    </w:p>
    <w:p>
      <w:r>
        <w:t>Action item completion rate: Target ≥85%</w:t>
      </w:r>
    </w:p>
    <w:p>
      <w:r>
        <w:t>Time to resolve escalations: Target &lt;15 business days</w:t>
      </w:r>
    </w:p>
    <w:p>
      <w:r>
        <w:t>Collaborative initiatives initiated: Target ≥2 per quarter</w:t>
      </w:r>
    </w:p>
    <w:p/>
    <w:p>
      <w:r>
        <w:t>Document prepared by: EDI Group Technology</w:t>
      </w:r>
    </w:p>
    <w:p>
      <w:r>
        <w:t>Last updated: April 09,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Forum Charter &amp; Governance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EDI Group Technology Forum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