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EDI Group Technology Forum</w:t>
      </w:r>
    </w:p>
    <w:p/>
    <w:p>
      <w:pPr>
        <w:jc w:val="center"/>
      </w:pPr>
      <w:r>
        <w:rPr>
          <w:color w:val="006699"/>
          <w:sz w:val="32"/>
        </w:rPr>
        <w:t>IT Service Management Framework - ITIL v4 Aligned</w:t>
      </w:r>
    </w:p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Document Version: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Date: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April 09, 2026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Organization: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EDI Group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Classification: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Internal Use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Status: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Active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1. INTRODUCTION TO ITSM</w:t>
      </w:r>
    </w:p>
    <w:p>
      <w:r>
        <w:t>This framework establishes service management practices aligned with ITIL v4, focusing on value co-creation and customer satisfaction.</w:t>
      </w:r>
    </w:p>
    <w:p>
      <w:pPr>
        <w:pStyle w:val="Heading1"/>
      </w:pPr>
      <w:r>
        <w:rPr>
          <w:b/>
          <w:color w:val="003366"/>
          <w:sz w:val="28"/>
        </w:rPr>
        <w:t>2. IT SERVICE MANAGEMENT LIFECYCLE</w:t>
      </w:r>
    </w:p>
    <w:p>
      <w:pPr>
        <w:pStyle w:val="Heading2"/>
      </w:pPr>
      <w:r>
        <w:rPr>
          <w:b/>
          <w:color w:val="006699"/>
          <w:sz w:val="24"/>
        </w:rPr>
        <w:t>2.1 ITIL v4 Four Dimensions</w:t>
      </w:r>
    </w:p>
    <w:p>
      <w:pPr>
        <w:pStyle w:val="ListBullet"/>
      </w:pPr>
      <w:r>
        <w:rPr>
          <w:b/>
        </w:rPr>
        <w:t xml:space="preserve">Organizations &amp; People: </w:t>
      </w:r>
      <w:r>
        <w:t>Roles, responsibilities, competencies, culture</w:t>
      </w:r>
    </w:p>
    <w:p>
      <w:pPr>
        <w:pStyle w:val="ListBullet"/>
      </w:pPr>
      <w:r>
        <w:rPr>
          <w:b/>
        </w:rPr>
        <w:t xml:space="preserve">Information &amp; Technology: </w:t>
      </w:r>
      <w:r>
        <w:t>Tools, systems, data, infrastructure</w:t>
      </w:r>
    </w:p>
    <w:p>
      <w:pPr>
        <w:pStyle w:val="ListBullet"/>
      </w:pPr>
      <w:r>
        <w:rPr>
          <w:b/>
        </w:rPr>
        <w:t xml:space="preserve">Partners &amp; Suppliers: </w:t>
      </w:r>
      <w:r>
        <w:t>External relationships and dependencies</w:t>
      </w:r>
    </w:p>
    <w:p>
      <w:pPr>
        <w:pStyle w:val="ListBullet"/>
      </w:pPr>
      <w:r>
        <w:rPr>
          <w:b/>
        </w:rPr>
        <w:t xml:space="preserve">Value Streams &amp; Processes: </w:t>
      </w:r>
      <w:r>
        <w:t>End-to-end service delivery</w:t>
      </w:r>
    </w:p>
    <w:p>
      <w:pPr>
        <w:pStyle w:val="Heading1"/>
      </w:pPr>
      <w:r>
        <w:rPr>
          <w:b/>
          <w:color w:val="003366"/>
          <w:sz w:val="28"/>
        </w:rPr>
        <w:t>3. SERVICE DESIGN &amp; TRANSITION</w:t>
      </w:r>
    </w:p>
    <w:p>
      <w:pPr>
        <w:pStyle w:val="Heading2"/>
      </w:pPr>
      <w:r>
        <w:rPr>
          <w:b/>
          <w:color w:val="006699"/>
          <w:sz w:val="24"/>
        </w:rPr>
        <w:t>3.1 Service Design Principles</w:t>
      </w:r>
    </w:p>
    <w:p>
      <w:pPr>
        <w:pStyle w:val="ListBullet"/>
      </w:pPr>
      <w:r>
        <w:t>User-centric design</w:t>
      </w:r>
    </w:p>
    <w:p>
      <w:pPr>
        <w:pStyle w:val="ListBullet"/>
      </w:pPr>
      <w:r>
        <w:t>Integrated service delivery</w:t>
      </w:r>
    </w:p>
    <w:p>
      <w:pPr>
        <w:pStyle w:val="ListBullet"/>
      </w:pPr>
      <w:r>
        <w:t>Scalability and flexibility</w:t>
      </w:r>
    </w:p>
    <w:p>
      <w:pPr>
        <w:pStyle w:val="ListBullet"/>
      </w:pPr>
      <w:r>
        <w:t>Security and compliance built-in</w:t>
      </w:r>
    </w:p>
    <w:p>
      <w:pPr>
        <w:pStyle w:val="ListBullet"/>
      </w:pPr>
      <w:r>
        <w:t>Cost optimization</w:t>
      </w:r>
    </w:p>
    <w:p>
      <w:pPr>
        <w:pStyle w:val="Heading2"/>
      </w:pPr>
      <w:r>
        <w:rPr>
          <w:b/>
          <w:color w:val="006699"/>
          <w:sz w:val="24"/>
        </w:rPr>
        <w:t>3.2 Change Management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Change Type</w:t>
            </w:r>
          </w:p>
        </w:tc>
        <w:tc>
          <w:tcPr>
            <w:tcW w:type="dxa" w:w="2880"/>
          </w:tcPr>
          <w:p>
            <w:r>
              <w:t>Approval Authority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</w:tr>
      <w:tr>
        <w:tc>
          <w:tcPr>
            <w:tcW w:type="dxa" w:w="2880"/>
          </w:tcPr>
          <w:p>
            <w:r>
              <w:t>Emergency</w:t>
            </w:r>
          </w:p>
        </w:tc>
        <w:tc>
          <w:tcPr>
            <w:tcW w:type="dxa" w:w="2880"/>
          </w:tcPr>
          <w:p>
            <w:r>
              <w:t>Change Advisory Board (CAB)</w:t>
            </w:r>
          </w:p>
        </w:tc>
        <w:tc>
          <w:tcPr>
            <w:tcW w:type="dxa" w:w="2880"/>
          </w:tcPr>
          <w:p>
            <w:r>
              <w:t>Immediate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IT Manager</w:t>
            </w:r>
          </w:p>
        </w:tc>
        <w:tc>
          <w:tcPr>
            <w:tcW w:type="dxa" w:w="2880"/>
          </w:tcPr>
          <w:p>
            <w:r>
              <w:t>5 days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CAB</w:t>
            </w:r>
          </w:p>
        </w:tc>
        <w:tc>
          <w:tcPr>
            <w:tcW w:type="dxa" w:w="2880"/>
          </w:tcPr>
          <w:p>
            <w:r>
              <w:t>10-15 days</w:t>
            </w:r>
          </w:p>
        </w:tc>
      </w:tr>
      <w:tr>
        <w:tc>
          <w:tcPr>
            <w:tcW w:type="dxa" w:w="2880"/>
          </w:tcPr>
          <w:p>
            <w:r>
              <w:t>Major</w:t>
            </w:r>
          </w:p>
        </w:tc>
        <w:tc>
          <w:tcPr>
            <w:tcW w:type="dxa" w:w="2880"/>
          </w:tcPr>
          <w:p>
            <w:r>
              <w:t>IT Director + Business lead</w:t>
            </w:r>
          </w:p>
        </w:tc>
        <w:tc>
          <w:tcPr>
            <w:tcW w:type="dxa" w:w="2880"/>
          </w:tcPr>
          <w:p>
            <w:r>
              <w:t>20-30 days</w:t>
            </w:r>
          </w:p>
        </w:tc>
      </w:tr>
      <w:tr>
        <w:tc>
          <w:tcPr>
            <w:tcW w:type="dxa" w:w="2880"/>
          </w:tcPr>
          <w:p>
            <w:r>
              <w:t>Strategic</w:t>
            </w:r>
          </w:p>
        </w:tc>
        <w:tc>
          <w:tcPr>
            <w:tcW w:type="dxa" w:w="2880"/>
          </w:tcPr>
          <w:p>
            <w:r>
              <w:t>CIO/CTO</w:t>
            </w:r>
          </w:p>
        </w:tc>
        <w:tc>
          <w:tcPr>
            <w:tcW w:type="dxa" w:w="2880"/>
          </w:tcPr>
          <w:p>
            <w:r>
              <w:t>30+ days</w:t>
            </w:r>
          </w:p>
        </w:tc>
      </w:tr>
    </w:tbl>
    <w:p>
      <w:pPr>
        <w:pStyle w:val="Heading1"/>
      </w:pPr>
      <w:r>
        <w:rPr>
          <w:b/>
          <w:color w:val="003366"/>
          <w:sz w:val="28"/>
        </w:rPr>
        <w:t>4. SERVICE SUPPORT FUNCTIONS</w:t>
      </w:r>
    </w:p>
    <w:p>
      <w:pPr>
        <w:pStyle w:val="Heading2"/>
      </w:pPr>
      <w:r>
        <w:rPr>
          <w:b/>
          <w:color w:val="006699"/>
          <w:sz w:val="24"/>
        </w:rPr>
        <w:t>4.1 Incident Management</w:t>
      </w:r>
    </w:p>
    <w:p>
      <w:pPr>
        <w:pStyle w:val="ListBullet"/>
      </w:pPr>
      <w:r>
        <w:rPr>
          <w:b/>
        </w:rPr>
        <w:t xml:space="preserve">P1 Critical: </w:t>
      </w:r>
      <w:r>
        <w:t>30 min response, 4 hour resolution target</w:t>
      </w:r>
    </w:p>
    <w:p>
      <w:pPr>
        <w:pStyle w:val="ListBullet"/>
      </w:pPr>
      <w:r>
        <w:rPr>
          <w:b/>
        </w:rPr>
        <w:t xml:space="preserve">P2 High: </w:t>
      </w:r>
      <w:r>
        <w:t>1 hour response, 8 hour resolution target</w:t>
      </w:r>
    </w:p>
    <w:p>
      <w:pPr>
        <w:pStyle w:val="ListBullet"/>
      </w:pPr>
      <w:r>
        <w:rPr>
          <w:b/>
        </w:rPr>
        <w:t xml:space="preserve">P3 Medium: </w:t>
      </w:r>
      <w:r>
        <w:t>4 hour response, 24 hour resolution target</w:t>
      </w:r>
    </w:p>
    <w:p>
      <w:pPr>
        <w:pStyle w:val="ListBullet"/>
      </w:pPr>
      <w:r>
        <w:rPr>
          <w:b/>
        </w:rPr>
        <w:t xml:space="preserve">P4 Low: </w:t>
      </w:r>
      <w:r>
        <w:t>8 hour response, 48 hour resolution target</w:t>
      </w:r>
    </w:p>
    <w:p>
      <w:pPr>
        <w:pStyle w:val="Heading2"/>
      </w:pPr>
      <w:r>
        <w:rPr>
          <w:b/>
          <w:color w:val="006699"/>
          <w:sz w:val="24"/>
        </w:rPr>
        <w:t>4.2 Problem Management</w:t>
      </w:r>
    </w:p>
    <w:p>
      <w:pPr>
        <w:pStyle w:val="ListBullet"/>
      </w:pPr>
      <w:r>
        <w:t>Root cause analysis for recurring incidents</w:t>
      </w:r>
    </w:p>
    <w:p>
      <w:pPr>
        <w:pStyle w:val="ListBullet"/>
      </w:pPr>
      <w:r>
        <w:t>Known error database (KEDB) maintenance</w:t>
      </w:r>
    </w:p>
    <w:p>
      <w:pPr>
        <w:pStyle w:val="ListBullet"/>
      </w:pPr>
      <w:r>
        <w:t>Problem ticket lifecycle tracking</w:t>
      </w:r>
    </w:p>
    <w:p>
      <w:pPr>
        <w:pStyle w:val="ListBullet"/>
      </w:pPr>
      <w:r>
        <w:t>Preventive action implementation</w:t>
      </w:r>
    </w:p>
    <w:p>
      <w:pPr>
        <w:pStyle w:val="ListBullet"/>
      </w:pPr>
      <w:r>
        <w:t>Quarterly problem trend review</w:t>
      </w:r>
    </w:p>
    <w:p>
      <w:pPr>
        <w:pStyle w:val="Heading2"/>
      </w:pPr>
      <w:r>
        <w:rPr>
          <w:b/>
          <w:color w:val="006699"/>
          <w:sz w:val="24"/>
        </w:rPr>
        <w:t>4.3 Request Fulfillment</w:t>
      </w:r>
    </w:p>
    <w:p>
      <w:pPr>
        <w:pStyle w:val="ListBullet"/>
      </w:pPr>
      <w:r>
        <w:t>Service request catalog published and updated quarterly</w:t>
      </w:r>
    </w:p>
    <w:p>
      <w:pPr>
        <w:pStyle w:val="ListBullet"/>
      </w:pPr>
      <w:r>
        <w:t>Standard 2-day fulfillment for routine requests</w:t>
      </w:r>
    </w:p>
    <w:p>
      <w:pPr>
        <w:pStyle w:val="ListBullet"/>
      </w:pPr>
      <w:r>
        <w:t>Automated approvals for low-risk requests</w:t>
      </w:r>
    </w:p>
    <w:p>
      <w:pPr>
        <w:pStyle w:val="ListBullet"/>
      </w:pPr>
      <w:r>
        <w:t>Request status tracking and communication</w:t>
      </w:r>
    </w:p>
    <w:p>
      <w:pPr>
        <w:pStyle w:val="Heading1"/>
      </w:pPr>
      <w:r>
        <w:rPr>
          <w:b/>
          <w:color w:val="003366"/>
          <w:sz w:val="28"/>
        </w:rPr>
        <w:t>5. SERVICE LEVEL MANAGEMENT</w:t>
      </w:r>
    </w:p>
    <w:p>
      <w:pPr>
        <w:pStyle w:val="Heading2"/>
      </w:pPr>
      <w:r>
        <w:rPr>
          <w:b/>
          <w:color w:val="006699"/>
          <w:sz w:val="24"/>
        </w:rPr>
        <w:t>5.1 Service Level Agreements (SLAs)</w:t>
      </w:r>
    </w:p>
    <w:p>
      <w:r>
        <w:t>SLAs define the expected service levels and are aligned with business requirements and operational capacity.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Standard Service</w:t>
            </w:r>
          </w:p>
        </w:tc>
        <w:tc>
          <w:tcPr>
            <w:tcW w:type="dxa" w:w="2880"/>
          </w:tcPr>
          <w:p>
            <w:r>
              <w:t>Premium Service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99.5%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</w:tr>
      <w:tr>
        <w:tc>
          <w:tcPr>
            <w:tcW w:type="dxa" w:w="2880"/>
          </w:tcPr>
          <w:p>
            <w:r>
              <w:t>Response Time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  <w:tc>
          <w:tcPr>
            <w:tcW w:type="dxa" w:w="2880"/>
          </w:tcPr>
          <w:p>
            <w:r>
              <w:t>30 minutes</w:t>
            </w:r>
          </w:p>
        </w:tc>
      </w:tr>
      <w:tr>
        <w:tc>
          <w:tcPr>
            <w:tcW w:type="dxa" w:w="2880"/>
          </w:tcPr>
          <w:p>
            <w:r>
              <w:t>Mean Time to Restore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  <w:tc>
          <w:tcPr>
            <w:tcW w:type="dxa" w:w="2880"/>
          </w:tcPr>
          <w:p>
            <w:r>
              <w:t>2 hours</w:t>
            </w:r>
          </w:p>
        </w:tc>
      </w:tr>
      <w:tr>
        <w:tc>
          <w:tcPr>
            <w:tcW w:type="dxa" w:w="2880"/>
          </w:tcPr>
          <w:p>
            <w:r>
              <w:t>Support Hours</w:t>
            </w:r>
          </w:p>
        </w:tc>
        <w:tc>
          <w:tcPr>
            <w:tcW w:type="dxa" w:w="2880"/>
          </w:tcPr>
          <w:p>
            <w:r>
              <w:t>8x5</w:t>
            </w:r>
          </w:p>
        </w:tc>
        <w:tc>
          <w:tcPr>
            <w:tcW w:type="dxa" w:w="2880"/>
          </w:tcPr>
          <w:p>
            <w:r>
              <w:t>24x7</w:t>
            </w:r>
          </w:p>
        </w:tc>
      </w:tr>
    </w:tbl>
    <w:p>
      <w:pPr>
        <w:pStyle w:val="Heading2"/>
      </w:pPr>
      <w:r>
        <w:rPr>
          <w:b/>
          <w:color w:val="006699"/>
          <w:sz w:val="24"/>
        </w:rPr>
        <w:t>5.2 SLA Monitoring &amp; Reporting</w:t>
      </w:r>
    </w:p>
    <w:p>
      <w:pPr>
        <w:pStyle w:val="ListBullet"/>
      </w:pPr>
      <w:r>
        <w:t>Monthly SLA compliance reporting</w:t>
      </w:r>
    </w:p>
    <w:p>
      <w:pPr>
        <w:pStyle w:val="ListBullet"/>
      </w:pPr>
      <w:r>
        <w:t>Trend analysis and improvement planning</w:t>
      </w:r>
    </w:p>
    <w:p>
      <w:pPr>
        <w:pStyle w:val="ListBullet"/>
      </w:pPr>
      <w:r>
        <w:t>Escalation procedures for SLA violations</w:t>
      </w:r>
    </w:p>
    <w:p>
      <w:pPr>
        <w:pStyle w:val="ListBullet"/>
      </w:pPr>
      <w:r>
        <w:t>Quarterly business review with stakeholders</w:t>
      </w:r>
    </w:p>
    <w:p>
      <w:pPr>
        <w:pStyle w:val="Heading1"/>
      </w:pPr>
      <w:r>
        <w:rPr>
          <w:b/>
          <w:color w:val="003366"/>
          <w:sz w:val="28"/>
        </w:rPr>
        <w:t>6. AVAILABILITY &amp; CAPACITY MANAGEMENT</w:t>
      </w:r>
    </w:p>
    <w:p>
      <w:pPr>
        <w:pStyle w:val="Heading2"/>
      </w:pPr>
      <w:r>
        <w:rPr>
          <w:b/>
          <w:color w:val="006699"/>
          <w:sz w:val="24"/>
        </w:rPr>
        <w:t>6.1 Capacity Planning</w:t>
      </w:r>
    </w:p>
    <w:p>
      <w:pPr>
        <w:pStyle w:val="ListBullet"/>
      </w:pPr>
      <w:r>
        <w:t>Annual capacity assessments</w:t>
      </w:r>
    </w:p>
    <w:p>
      <w:pPr>
        <w:pStyle w:val="ListBullet"/>
      </w:pPr>
      <w:r>
        <w:t>Trend analysis and forecasting</w:t>
      </w:r>
    </w:p>
    <w:p>
      <w:pPr>
        <w:pStyle w:val="ListBullet"/>
      </w:pPr>
      <w:r>
        <w:t>Infrastructure expansion planning</w:t>
      </w:r>
    </w:p>
    <w:p>
      <w:pPr>
        <w:pStyle w:val="ListBullet"/>
      </w:pPr>
      <w:r>
        <w:t>Cost optimization initiatives</w:t>
      </w:r>
    </w:p>
    <w:p>
      <w:pPr>
        <w:pStyle w:val="Heading2"/>
      </w:pPr>
      <w:r>
        <w:rPr>
          <w:b/>
          <w:color w:val="006699"/>
          <w:sz w:val="24"/>
        </w:rPr>
        <w:t>6.2 Availability Management</w:t>
      </w:r>
    </w:p>
    <w:p>
      <w:pPr>
        <w:pStyle w:val="ListBullet"/>
      </w:pPr>
      <w:r>
        <w:t>High-availability architecture design</w:t>
      </w:r>
    </w:p>
    <w:p>
      <w:pPr>
        <w:pStyle w:val="ListBullet"/>
      </w:pPr>
      <w:r>
        <w:t>Redundancy and failover testing</w:t>
      </w:r>
    </w:p>
    <w:p>
      <w:pPr>
        <w:pStyle w:val="ListBullet"/>
      </w:pPr>
      <w:r>
        <w:t>Proactive maintenance scheduling</w:t>
      </w:r>
    </w:p>
    <w:p>
      <w:pPr>
        <w:pStyle w:val="ListBullet"/>
      </w:pPr>
      <w:r>
        <w:t>Availability metric tracking (uptime %)</w:t>
      </w:r>
    </w:p>
    <w:p>
      <w:pPr>
        <w:pStyle w:val="Heading1"/>
      </w:pPr>
      <w:r>
        <w:rPr>
          <w:b/>
          <w:color w:val="003366"/>
          <w:sz w:val="28"/>
        </w:rPr>
        <w:t>7. IT ASSET &amp; CONFIGURATION MANAGEMENT</w:t>
      </w:r>
    </w:p>
    <w:p>
      <w:pPr>
        <w:pStyle w:val="Heading2"/>
      </w:pPr>
      <w:r>
        <w:rPr>
          <w:b/>
          <w:color w:val="006699"/>
          <w:sz w:val="24"/>
        </w:rPr>
        <w:t>7.1 Configuration Management Database (CMDB)</w:t>
      </w:r>
    </w:p>
    <w:p>
      <w:pPr>
        <w:pStyle w:val="ListBullet"/>
      </w:pPr>
      <w:r>
        <w:t>Central repository of all IT assets and configurations</w:t>
      </w:r>
    </w:p>
    <w:p>
      <w:pPr>
        <w:pStyle w:val="ListBullet"/>
      </w:pPr>
      <w:r>
        <w:t>Automated discovery of hardware and software</w:t>
      </w:r>
    </w:p>
    <w:p>
      <w:pPr>
        <w:pStyle w:val="ListBullet"/>
      </w:pPr>
      <w:r>
        <w:t>Change tracking and impact analysis</w:t>
      </w:r>
    </w:p>
    <w:p>
      <w:pPr>
        <w:pStyle w:val="ListBullet"/>
      </w:pPr>
      <w:r>
        <w:t>License compliance tracking</w:t>
      </w:r>
    </w:p>
    <w:p>
      <w:pPr>
        <w:pStyle w:val="Heading2"/>
      </w:pPr>
      <w:r>
        <w:rPr>
          <w:b/>
          <w:color w:val="006699"/>
          <w:sz w:val="24"/>
        </w:rPr>
        <w:t>7.2 Asset Lifecycle Management</w:t>
      </w:r>
    </w:p>
    <w:p>
      <w:pPr>
        <w:pStyle w:val="ListBullet"/>
      </w:pPr>
      <w:r>
        <w:t>Procurement standards and approval process</w:t>
      </w:r>
    </w:p>
    <w:p>
      <w:pPr>
        <w:pStyle w:val="ListBullet"/>
      </w:pPr>
      <w:r>
        <w:t>Asset tagging and tracking</w:t>
      </w:r>
    </w:p>
    <w:p>
      <w:pPr>
        <w:pStyle w:val="ListBullet"/>
      </w:pPr>
      <w:r>
        <w:t>Depreciation and refresh planning</w:t>
      </w:r>
    </w:p>
    <w:p>
      <w:pPr>
        <w:pStyle w:val="ListBullet"/>
      </w:pPr>
      <w:r>
        <w:t>Secure disposal and data destruction</w:t>
      </w:r>
    </w:p>
    <w:p>
      <w:pPr>
        <w:pStyle w:val="Heading1"/>
      </w:pPr>
      <w:r>
        <w:rPr>
          <w:b/>
          <w:color w:val="003366"/>
          <w:sz w:val="28"/>
        </w:rPr>
        <w:t>8. CONTINUAL IMPROVEMENT</w:t>
      </w:r>
    </w:p>
    <w:p>
      <w:pPr>
        <w:pStyle w:val="Heading2"/>
      </w:pPr>
      <w:r>
        <w:rPr>
          <w:b/>
          <w:color w:val="006699"/>
          <w:sz w:val="24"/>
        </w:rPr>
        <w:t>8.1 PDCA 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Activities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Define objectives, identify improvement areas, set targets</w:t>
            </w:r>
          </w:p>
        </w:tc>
      </w:tr>
      <w:tr>
        <w:tc>
          <w:tcPr>
            <w:tcW w:type="dxa" w:w="4320"/>
          </w:tcPr>
          <w:p>
            <w:r>
              <w:t>Do</w:t>
            </w:r>
          </w:p>
        </w:tc>
        <w:tc>
          <w:tcPr>
            <w:tcW w:type="dxa" w:w="4320"/>
          </w:tcPr>
          <w:p>
            <w:r>
              <w:t>Implement improvements, pilot programs, measure results</w:t>
            </w:r>
          </w:p>
        </w:tc>
      </w:tr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Monitor metrics, analyze data, identify gaps</w:t>
            </w:r>
          </w:p>
        </w:tc>
      </w:tr>
      <w:tr>
        <w:tc>
          <w:tcPr>
            <w:tcW w:type="dxa" w:w="4320"/>
          </w:tcPr>
          <w:p>
            <w:r>
              <w:t>Act</w:t>
            </w:r>
          </w:p>
        </w:tc>
        <w:tc>
          <w:tcPr>
            <w:tcW w:type="dxa" w:w="4320"/>
          </w:tcPr>
          <w:p>
            <w:r>
              <w:t>Document lessons, standardize improvements, plan next cycle</w:t>
            </w:r>
          </w:p>
        </w:tc>
      </w:tr>
    </w:tbl>
    <w:p>
      <w:pPr>
        <w:pStyle w:val="Heading2"/>
      </w:pPr>
      <w:r>
        <w:rPr>
          <w:b/>
          <w:color w:val="006699"/>
          <w:sz w:val="24"/>
        </w:rPr>
        <w:t>8.2 Key Improvement Initiatives</w:t>
      </w:r>
    </w:p>
    <w:p>
      <w:pPr>
        <w:pStyle w:val="ListBullet"/>
      </w:pPr>
      <w:r>
        <w:t>Automation of repetitive tasks</w:t>
      </w:r>
    </w:p>
    <w:p>
      <w:pPr>
        <w:pStyle w:val="ListBullet"/>
      </w:pPr>
      <w:r>
        <w:t>Process standardization across entities</w:t>
      </w:r>
    </w:p>
    <w:p>
      <w:pPr>
        <w:pStyle w:val="ListBullet"/>
      </w:pPr>
      <w:r>
        <w:t>Tool consolidation and optimization</w:t>
      </w:r>
    </w:p>
    <w:p>
      <w:pPr>
        <w:pStyle w:val="ListBullet"/>
      </w:pPr>
      <w:r>
        <w:t>Knowledge management and documentation</w:t>
      </w:r>
    </w:p>
    <w:p>
      <w:pPr>
        <w:pStyle w:val="ListBullet"/>
      </w:pPr>
      <w:r>
        <w:t>Training and skill development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20"/>
      </w:rPr>
      <w:t>IT Service Management Framework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20"/>
      </w:rPr>
      <w:t>EDI Group Technology Forum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