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EDI Group Technology Forum</w:t>
      </w:r>
    </w:p>
    <w:p/>
    <w:p>
      <w:pPr>
        <w:jc w:val="center"/>
      </w:pPr>
      <w:r>
        <w:rPr>
          <w:color w:val="006699"/>
          <w:sz w:val="32"/>
        </w:rPr>
        <w:t>IT Strategy Development Framework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Document Version: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Date: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April 09, 2026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Organization: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EDI Group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Classification: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Internal Use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Status: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Active</w:t>
            </w:r>
          </w:p>
        </w:tc>
      </w:tr>
    </w:tbl>
    <w:p>
      <w:r>
        <w:br w:type="page"/>
      </w:r>
    </w:p>
    <w:p>
      <w:r>
        <w:rPr>
          <w:b/>
        </w:rPr>
        <w:t>TABLE OF CONTENTS</w:t>
      </w:r>
    </w:p>
    <w:p>
      <w:pPr>
        <w:pStyle w:val="ListNumber"/>
      </w:pPr>
      <w:r>
        <w:t>1. Section 1</w:t>
      </w:r>
    </w:p>
    <w:p>
      <w:pPr>
        <w:pStyle w:val="ListNumber"/>
      </w:pPr>
      <w:r>
        <w:t>2. Section 2</w:t>
      </w:r>
    </w:p>
    <w:p>
      <w:pPr>
        <w:pStyle w:val="ListNumber"/>
      </w:pPr>
      <w:r>
        <w:t>3. Section 3</w:t>
      </w:r>
    </w:p>
    <w:p>
      <w:pPr>
        <w:pStyle w:val="ListNumber"/>
      </w:pPr>
      <w:r>
        <w:t>4. Section 4</w:t>
      </w:r>
    </w:p>
    <w:p>
      <w:pPr>
        <w:pStyle w:val="ListNumber"/>
      </w:pPr>
      <w:r>
        <w:t>5. Section 5</w:t>
      </w:r>
    </w:p>
    <w:p>
      <w:pPr>
        <w:pStyle w:val="ListNumber"/>
      </w:pPr>
      <w:r>
        <w:t>6. Section 6</w:t>
      </w:r>
    </w:p>
    <w:p>
      <w:pPr>
        <w:pStyle w:val="ListNumber"/>
      </w:pPr>
      <w:r>
        <w:t>7. Section 7</w:t>
      </w:r>
    </w:p>
    <w:p>
      <w:pPr>
        <w:pStyle w:val="ListNumber"/>
      </w:pPr>
      <w:r>
        <w:t>8. Section 8</w:t>
      </w:r>
    </w:p>
    <w:p>
      <w:pPr>
        <w:pStyle w:val="ListNumber"/>
      </w:pPr>
      <w:r>
        <w:t>9. Section 9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1. FRAMEWORK OVERVIEW</w:t>
      </w:r>
    </w:p>
    <w:p>
      <w:r>
        <w:t>This framework provides a comprehensive structure for developing IT strategies that align with business objectives while incorporating technology best practices, risk management, and governance principles aligned with ISO 27001, NIST, ITIL, and COBIT 2019.</w:t>
      </w:r>
    </w:p>
    <w:p>
      <w:pPr>
        <w:pStyle w:val="Heading1"/>
      </w:pPr>
      <w:r>
        <w:rPr>
          <w:b/>
          <w:color w:val="003366"/>
          <w:sz w:val="28"/>
        </w:rPr>
        <w:t>2. STRATEGIC PLANNING HORIZONS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Horizon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Short-term</w:t>
            </w:r>
          </w:p>
        </w:tc>
        <w:tc>
          <w:tcPr>
            <w:tcW w:type="dxa" w:w="2880"/>
          </w:tcPr>
          <w:p>
            <w:r>
              <w:t>0-12 months</w:t>
            </w:r>
          </w:p>
        </w:tc>
        <w:tc>
          <w:tcPr>
            <w:tcW w:type="dxa" w:w="2880"/>
          </w:tcPr>
          <w:p>
            <w:r>
              <w:t>Quick wins, stabilization, immediate capability</w:t>
            </w:r>
          </w:p>
        </w:tc>
      </w:tr>
      <w:tr>
        <w:tc>
          <w:tcPr>
            <w:tcW w:type="dxa" w:w="2880"/>
          </w:tcPr>
          <w:p>
            <w:r>
              <w:t>Medium-term</w:t>
            </w:r>
          </w:p>
        </w:tc>
        <w:tc>
          <w:tcPr>
            <w:tcW w:type="dxa" w:w="2880"/>
          </w:tcPr>
          <w:p>
            <w:r>
              <w:t>1-3 years</w:t>
            </w:r>
          </w:p>
        </w:tc>
        <w:tc>
          <w:tcPr>
            <w:tcW w:type="dxa" w:w="2880"/>
          </w:tcPr>
          <w:p>
            <w:r>
              <w:t>Foundation building, capability scaling, alignment</w:t>
            </w:r>
          </w:p>
        </w:tc>
      </w:tr>
      <w:tr>
        <w:tc>
          <w:tcPr>
            <w:tcW w:type="dxa" w:w="2880"/>
          </w:tcPr>
          <w:p>
            <w:r>
              <w:t>Long-term</w:t>
            </w:r>
          </w:p>
        </w:tc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Strategic transformation, innovation, market positioning</w:t>
            </w:r>
          </w:p>
        </w:tc>
      </w:tr>
    </w:tbl>
    <w:p>
      <w:pPr>
        <w:pStyle w:val="Heading1"/>
      </w:pPr>
      <w:r>
        <w:rPr>
          <w:b/>
          <w:color w:val="003366"/>
          <w:sz w:val="28"/>
        </w:rPr>
        <w:t>3. BUSINESS ALIGNMENT</w:t>
      </w:r>
    </w:p>
    <w:p>
      <w:pPr>
        <w:pStyle w:val="Heading2"/>
      </w:pPr>
      <w:r>
        <w:rPr>
          <w:b/>
          <w:color w:val="006699"/>
          <w:sz w:val="24"/>
        </w:rPr>
        <w:t>3.1 Business Priorities Assessment</w:t>
      </w:r>
    </w:p>
    <w:p>
      <w:pPr>
        <w:pStyle w:val="ListBullet"/>
      </w:pPr>
      <w:r>
        <w:t>Revenue drivers and growth initiatives</w:t>
      </w:r>
    </w:p>
    <w:p>
      <w:pPr>
        <w:pStyle w:val="ListBullet"/>
      </w:pPr>
      <w:r>
        <w:t>Cost optimization objectives</w:t>
      </w:r>
    </w:p>
    <w:p>
      <w:pPr>
        <w:pStyle w:val="ListBullet"/>
      </w:pPr>
      <w:r>
        <w:t>Risk and compliance requirements</w:t>
      </w:r>
    </w:p>
    <w:p>
      <w:pPr>
        <w:pStyle w:val="ListBullet"/>
      </w:pPr>
      <w:r>
        <w:t>Market and competitive positioning</w:t>
      </w:r>
    </w:p>
    <w:p>
      <w:pPr>
        <w:pStyle w:val="Heading2"/>
      </w:pPr>
      <w:r>
        <w:rPr>
          <w:b/>
          <w:color w:val="006699"/>
          <w:sz w:val="24"/>
        </w:rPr>
        <w:t>3.2 IT's Strategic Role</w:t>
      </w:r>
    </w:p>
    <w:p>
      <w:pPr>
        <w:pStyle w:val="ListBullet"/>
      </w:pPr>
      <w:r>
        <w:t>Enabler: Support business operations efficiently</w:t>
      </w:r>
    </w:p>
    <w:p>
      <w:pPr>
        <w:pStyle w:val="ListBullet"/>
      </w:pPr>
      <w:r>
        <w:t>Differentiator: Enable competitive advantage</w:t>
      </w:r>
    </w:p>
    <w:p>
      <w:pPr>
        <w:pStyle w:val="ListBullet"/>
      </w:pPr>
      <w:r>
        <w:t>Protector: Ensure security and risk mitigation</w:t>
      </w:r>
    </w:p>
    <w:p>
      <w:pPr>
        <w:pStyle w:val="Heading1"/>
      </w:pPr>
      <w:r>
        <w:rPr>
          <w:b/>
          <w:color w:val="003366"/>
          <w:sz w:val="28"/>
        </w:rPr>
        <w:t>4. CURRENT STATE ASSESSMENT</w:t>
      </w:r>
    </w:p>
    <w:p>
      <w:pPr>
        <w:pStyle w:val="Heading2"/>
      </w:pPr>
      <w:r>
        <w:rPr>
          <w:b/>
          <w:color w:val="006699"/>
          <w:sz w:val="24"/>
        </w:rPr>
        <w:t>4.1 Technology Baseline</w:t>
      </w:r>
    </w:p>
    <w:p>
      <w:pPr>
        <w:pStyle w:val="ListBullet"/>
      </w:pPr>
      <w:r>
        <w:rPr>
          <w:b/>
        </w:rPr>
        <w:t xml:space="preserve">Applications &amp; Systems: </w:t>
      </w:r>
      <w:r>
        <w:t>Core systems, legacy applications, SaaS utilization, integration landscape</w:t>
      </w:r>
    </w:p>
    <w:p>
      <w:pPr>
        <w:pStyle w:val="ListBullet"/>
      </w:pPr>
      <w:r>
        <w:rPr>
          <w:b/>
        </w:rPr>
        <w:t xml:space="preserve">Infrastructure: </w:t>
      </w:r>
      <w:r>
        <w:t>Data center vs cloud, network architecture, disaster recovery capability</w:t>
      </w:r>
    </w:p>
    <w:p>
      <w:pPr>
        <w:pStyle w:val="ListBullet"/>
      </w:pPr>
      <w:r>
        <w:rPr>
          <w:b/>
        </w:rPr>
        <w:t xml:space="preserve">Cybersecurity Posture: </w:t>
      </w:r>
      <w:r>
        <w:t>Controls maturity (NIST framework), compliance status, risk assessment</w:t>
      </w:r>
    </w:p>
    <w:p>
      <w:pPr>
        <w:pStyle w:val="ListBullet"/>
      </w:pPr>
      <w:r>
        <w:rPr>
          <w:b/>
        </w:rPr>
        <w:t xml:space="preserve">Data &amp; Analytics: </w:t>
      </w:r>
      <w:r>
        <w:t>Data sources, warehouse/lake capability, BI tools, data governance</w:t>
      </w:r>
    </w:p>
    <w:p>
      <w:pPr>
        <w:pStyle w:val="ListBullet"/>
      </w:pPr>
      <w:r>
        <w:rPr>
          <w:b/>
        </w:rPr>
        <w:t xml:space="preserve">Operations: </w:t>
      </w:r>
      <w:r>
        <w:t>Support model, SLA performance, automation level, tool stack</w:t>
      </w:r>
    </w:p>
    <w:p>
      <w:pPr>
        <w:pStyle w:val="ListBullet"/>
      </w:pPr>
      <w:r>
        <w:rPr>
          <w:b/>
        </w:rPr>
        <w:t xml:space="preserve">Skills &amp; Staffing: </w:t>
      </w:r>
      <w:r>
        <w:t>Capability gaps, knowledge areas, training needs, retention risk</w:t>
      </w:r>
    </w:p>
    <w:p>
      <w:pPr>
        <w:pStyle w:val="Heading1"/>
      </w:pPr>
      <w:r>
        <w:rPr>
          <w:b/>
          <w:color w:val="003366"/>
          <w:sz w:val="28"/>
        </w:rPr>
        <w:t>5. TARGET ARCHITECTURE (3-YEAR VIEW)</w:t>
      </w:r>
    </w:p>
    <w:p>
      <w:pPr>
        <w:pStyle w:val="Heading2"/>
      </w:pPr>
      <w:r>
        <w:rPr>
          <w:b/>
          <w:color w:val="006699"/>
          <w:sz w:val="24"/>
        </w:rPr>
        <w:t>5.1 Application Architecture</w:t>
      </w:r>
    </w:p>
    <w:p>
      <w:pPr>
        <w:pStyle w:val="ListBullet"/>
      </w:pPr>
      <w:r>
        <w:t>API-first design for integration and scalability</w:t>
      </w:r>
    </w:p>
    <w:p>
      <w:pPr>
        <w:pStyle w:val="ListBullet"/>
      </w:pPr>
      <w:r>
        <w:t>Microservices for agility and independent scaling</w:t>
      </w:r>
    </w:p>
    <w:p>
      <w:pPr>
        <w:pStyle w:val="ListBullet"/>
      </w:pPr>
      <w:r>
        <w:t>Cloud-native development and deployment</w:t>
      </w:r>
    </w:p>
    <w:p>
      <w:pPr>
        <w:pStyle w:val="ListBullet"/>
      </w:pPr>
      <w:r>
        <w:t>Legacy system modernization roadmap</w:t>
      </w:r>
    </w:p>
    <w:p>
      <w:pPr>
        <w:pStyle w:val="Heading2"/>
      </w:pPr>
      <w:r>
        <w:rPr>
          <w:b/>
          <w:color w:val="006699"/>
          <w:sz w:val="24"/>
        </w:rPr>
        <w:t>5.2 Data &amp; Analytics Platform</w:t>
      </w:r>
    </w:p>
    <w:p>
      <w:pPr>
        <w:pStyle w:val="ListBullet"/>
      </w:pPr>
      <w:r>
        <w:t>Centralized data warehouse/lake</w:t>
      </w:r>
    </w:p>
    <w:p>
      <w:pPr>
        <w:pStyle w:val="ListBullet"/>
      </w:pPr>
      <w:r>
        <w:t>Real-time analytics capability</w:t>
      </w:r>
    </w:p>
    <w:p>
      <w:pPr>
        <w:pStyle w:val="ListBullet"/>
      </w:pPr>
      <w:r>
        <w:t>Data governance framework (aligned with COBIT)</w:t>
      </w:r>
    </w:p>
    <w:p>
      <w:pPr>
        <w:pStyle w:val="ListBullet"/>
      </w:pPr>
      <w:r>
        <w:t>AI/ML readiness</w:t>
      </w:r>
    </w:p>
    <w:p>
      <w:pPr>
        <w:pStyle w:val="Heading2"/>
      </w:pPr>
      <w:r>
        <w:rPr>
          <w:b/>
          <w:color w:val="006699"/>
          <w:sz w:val="24"/>
        </w:rPr>
        <w:t>5.3 Infrastructure Architecture</w:t>
      </w:r>
    </w:p>
    <w:p>
      <w:pPr>
        <w:pStyle w:val="ListBullet"/>
      </w:pPr>
      <w:r>
        <w:t>Multi-cloud or hybrid cloud strategy</w:t>
      </w:r>
    </w:p>
    <w:p>
      <w:pPr>
        <w:pStyle w:val="ListBullet"/>
      </w:pPr>
      <w:r>
        <w:t>Infrastructure as Code (IaC) practices</w:t>
      </w:r>
    </w:p>
    <w:p>
      <w:pPr>
        <w:pStyle w:val="ListBullet"/>
      </w:pPr>
      <w:r>
        <w:t>Containerization and orchestration</w:t>
      </w:r>
    </w:p>
    <w:p>
      <w:pPr>
        <w:pStyle w:val="ListBullet"/>
      </w:pPr>
      <w:r>
        <w:t>Zero Trust security architecture</w:t>
      </w:r>
    </w:p>
    <w:p>
      <w:pPr>
        <w:pStyle w:val="Heading2"/>
      </w:pPr>
      <w:r>
        <w:rPr>
          <w:b/>
          <w:color w:val="006699"/>
          <w:sz w:val="24"/>
        </w:rPr>
        <w:t>5.4 Security Architecture</w:t>
      </w:r>
    </w:p>
    <w:p>
      <w:pPr>
        <w:pStyle w:val="ListBullet"/>
      </w:pPr>
      <w:r>
        <w:t>Zero Trust model implementation</w:t>
      </w:r>
    </w:p>
    <w:p>
      <w:pPr>
        <w:pStyle w:val="ListBullet"/>
      </w:pPr>
      <w:r>
        <w:t>Identity and Access Management (IAM) with MFA</w:t>
      </w:r>
    </w:p>
    <w:p>
      <w:pPr>
        <w:pStyle w:val="ListBullet"/>
      </w:pPr>
      <w:r>
        <w:t>Advanced threat detection and response</w:t>
      </w:r>
    </w:p>
    <w:p>
      <w:pPr>
        <w:pStyle w:val="ListBullet"/>
      </w:pPr>
      <w:r>
        <w:t>Compliance automation (OJK, BI, ISO 27001)</w:t>
      </w:r>
    </w:p>
    <w:p>
      <w:pPr>
        <w:pStyle w:val="Heading1"/>
      </w:pPr>
      <w:r>
        <w:rPr>
          <w:b/>
          <w:color w:val="003366"/>
          <w:sz w:val="28"/>
        </w:rPr>
        <w:t>6. STRATEGIC ROADMAP</w:t>
      </w:r>
    </w:p>
    <w:p>
      <w:pPr>
        <w:pStyle w:val="Heading2"/>
      </w:pPr>
      <w:r>
        <w:rPr>
          <w:b/>
          <w:color w:val="006699"/>
          <w:sz w:val="24"/>
        </w:rPr>
        <w:t>6.1 Initiative Taxonomy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Estimated Cost</w:t>
            </w:r>
          </w:p>
        </w:tc>
      </w:tr>
      <w:tr>
        <w:tc>
          <w:tcPr>
            <w:tcW w:type="dxa" w:w="2160"/>
          </w:tcPr>
          <w:p>
            <w:r>
              <w:t>90-Day</w:t>
            </w:r>
          </w:p>
        </w:tc>
        <w:tc>
          <w:tcPr>
            <w:tcW w:type="dxa" w:w="2160"/>
          </w:tcPr>
          <w:p>
            <w:r>
              <w:t>Quick wins, stabilization</w:t>
            </w:r>
          </w:p>
        </w:tc>
        <w:tc>
          <w:tcPr>
            <w:tcW w:type="dxa" w:w="2160"/>
          </w:tcPr>
          <w:p>
            <w:r>
              <w:t>High/Quick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3-6 Month</w:t>
            </w:r>
          </w:p>
        </w:tc>
        <w:tc>
          <w:tcPr>
            <w:tcW w:type="dxa" w:w="2160"/>
          </w:tcPr>
          <w:p>
            <w:r>
              <w:t>Foundation building</w:t>
            </w:r>
          </w:p>
        </w:tc>
        <w:tc>
          <w:tcPr>
            <w:tcW w:type="dxa" w:w="2160"/>
          </w:tcPr>
          <w:p>
            <w:r>
              <w:t>High/Medium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6-12 Month</w:t>
            </w:r>
          </w:p>
        </w:tc>
        <w:tc>
          <w:tcPr>
            <w:tcW w:type="dxa" w:w="2160"/>
          </w:tcPr>
          <w:p>
            <w:r>
              <w:t>Capability scaling</w:t>
            </w:r>
          </w:p>
        </w:tc>
        <w:tc>
          <w:tcPr>
            <w:tcW w:type="dxa" w:w="2160"/>
          </w:tcPr>
          <w:p>
            <w:r>
              <w:t>High/Medium-long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12-36 Month</w:t>
            </w:r>
          </w:p>
        </w:tc>
        <w:tc>
          <w:tcPr>
            <w:tcW w:type="dxa" w:w="2160"/>
          </w:tcPr>
          <w:p>
            <w:r>
              <w:t>Strategic transformation</w:t>
            </w:r>
          </w:p>
        </w:tc>
        <w:tc>
          <w:tcPr>
            <w:tcW w:type="dxa" w:w="2160"/>
          </w:tcPr>
          <w:p>
            <w:r>
              <w:t>Strategic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</w:tbl>
    <w:p>
      <w:pPr>
        <w:pStyle w:val="Heading1"/>
      </w:pPr>
      <w:r>
        <w:rPr>
          <w:b/>
          <w:color w:val="003366"/>
          <w:sz w:val="28"/>
        </w:rPr>
        <w:t>7. CYBERSECURITY &amp; RISK MANAGEMENT</w:t>
      </w:r>
    </w:p>
    <w:p>
      <w:r>
        <w:t>All strategies must incorporate security-by-design principles aligned with ISO 27001, NIST Cybersecurity Framework, and regulatory requirements (OJK, BI).</w:t>
      </w:r>
    </w:p>
    <w:p>
      <w:pPr>
        <w:pStyle w:val="ListBullet"/>
      </w:pPr>
      <w:r>
        <w:t>IAM strategy with MFA implementation</w:t>
      </w:r>
    </w:p>
    <w:p>
      <w:pPr>
        <w:pStyle w:val="ListBullet"/>
      </w:pPr>
      <w:r>
        <w:t>Endpoint and network security controls</w:t>
      </w:r>
    </w:p>
    <w:p>
      <w:pPr>
        <w:pStyle w:val="ListBullet"/>
      </w:pPr>
      <w:r>
        <w:t>Fraud detection and prevention systems</w:t>
      </w:r>
    </w:p>
    <w:p>
      <w:pPr>
        <w:pStyle w:val="ListBullet"/>
      </w:pPr>
      <w:r>
        <w:t>Disaster Recovery/Business Continuity Planning (RTO/RPO defined)</w:t>
      </w:r>
    </w:p>
    <w:p>
      <w:pPr>
        <w:pStyle w:val="ListBullet"/>
      </w:pPr>
      <w:r>
        <w:t>Incident response procedures</w:t>
      </w:r>
    </w:p>
    <w:p>
      <w:pPr>
        <w:pStyle w:val="ListBullet"/>
      </w:pPr>
      <w:r>
        <w:t>Regular security assessments and penetration testing</w:t>
      </w:r>
    </w:p>
    <w:p>
      <w:pPr>
        <w:pStyle w:val="Heading1"/>
      </w:pPr>
      <w:r>
        <w:rPr>
          <w:b/>
          <w:color w:val="003366"/>
          <w:sz w:val="28"/>
        </w:rPr>
        <w:t>8. GOVERNANCE &amp; OPERATING MODEL</w:t>
      </w:r>
    </w:p>
    <w:p>
      <w:pPr>
        <w:pStyle w:val="Heading2"/>
      </w:pPr>
      <w:r>
        <w:rPr>
          <w:b/>
          <w:color w:val="006699"/>
          <w:sz w:val="24"/>
        </w:rPr>
        <w:t>8.1 IT Governance (COBIT 2019 aligned)</w:t>
      </w:r>
    </w:p>
    <w:p>
      <w:pPr>
        <w:pStyle w:val="ListBullet"/>
      </w:pPr>
      <w:r>
        <w:t>Decision rights and accountability</w:t>
      </w:r>
    </w:p>
    <w:p>
      <w:pPr>
        <w:pStyle w:val="ListBullet"/>
      </w:pPr>
      <w:r>
        <w:t>Technology architecture governance</w:t>
      </w:r>
    </w:p>
    <w:p>
      <w:pPr>
        <w:pStyle w:val="ListBullet"/>
      </w:pPr>
      <w:r>
        <w:t>Vendor management and control</w:t>
      </w:r>
    </w:p>
    <w:p>
      <w:pPr>
        <w:pStyle w:val="ListBullet"/>
      </w:pPr>
      <w:r>
        <w:t>IT investment prioritization</w:t>
      </w:r>
    </w:p>
    <w:p>
      <w:pPr>
        <w:pStyle w:val="ListBullet"/>
      </w:pPr>
      <w:r>
        <w:t>Compliance and audit oversight</w:t>
      </w:r>
    </w:p>
    <w:p>
      <w:pPr>
        <w:pStyle w:val="Heading2"/>
      </w:pPr>
      <w:r>
        <w:rPr>
          <w:b/>
          <w:color w:val="006699"/>
          <w:sz w:val="24"/>
        </w:rPr>
        <w:t>8.2 Organizational Alignment</w:t>
      </w:r>
    </w:p>
    <w:p>
      <w:r>
        <w:t>Alignment with EDI Group technology standards and direction</w:t>
      </w:r>
    </w:p>
    <w:p>
      <w:r>
        <w:t>Integration with business planning cycles</w:t>
      </w:r>
    </w:p>
    <w:p>
      <w:r>
        <w:t>Cross-functional collaboration (Finance, Risk, Operations)</w:t>
      </w:r>
    </w:p>
    <w:p>
      <w:pPr>
        <w:pStyle w:val="Heading1"/>
      </w:pPr>
      <w:r>
        <w:rPr>
          <w:b/>
          <w:color w:val="003366"/>
          <w:sz w:val="28"/>
        </w:rPr>
        <w:t>9. FINANCIALS &amp; PERFORMANCE METRICS</w:t>
      </w:r>
    </w:p>
    <w:p>
      <w:pPr>
        <w:pStyle w:val="Heading2"/>
      </w:pPr>
      <w:r>
        <w:rPr>
          <w:b/>
          <w:color w:val="006699"/>
          <w:sz w:val="24"/>
        </w:rPr>
        <w:t>9.1 3-Year Budget Planning</w:t>
      </w:r>
    </w:p>
    <w:p>
      <w:r>
        <w:t>Capital expenditure (CAPEX) allocation by initiative</w:t>
      </w:r>
    </w:p>
    <w:p>
      <w:r>
        <w:t>Operating expenditure (OPEX) planning and optimization</w:t>
      </w:r>
    </w:p>
    <w:p>
      <w:r>
        <w:t>ROI and business value measurement framework</w:t>
      </w:r>
    </w:p>
    <w:p>
      <w:pPr>
        <w:pStyle w:val="Heading2"/>
      </w:pPr>
      <w:r>
        <w:rPr>
          <w:b/>
          <w:color w:val="006699"/>
          <w:sz w:val="24"/>
        </w:rPr>
        <w:t>9.2 Key Performance Indicators</w:t>
      </w:r>
    </w:p>
    <w:p>
      <w:pPr>
        <w:pStyle w:val="ListBullet"/>
      </w:pPr>
      <w:r>
        <w:rPr>
          <w:b/>
        </w:rPr>
        <w:t xml:space="preserve">System Uptime: </w:t>
      </w:r>
      <w:r>
        <w:t>99.5-99.9% availability target</w:t>
      </w:r>
    </w:p>
    <w:p>
      <w:pPr>
        <w:pStyle w:val="ListBullet"/>
      </w:pPr>
      <w:r>
        <w:rPr>
          <w:b/>
        </w:rPr>
        <w:t xml:space="preserve">Deployment Frequency: </w:t>
      </w:r>
      <w:r>
        <w:t>Weekly to monthly deployments</w:t>
      </w:r>
    </w:p>
    <w:p>
      <w:pPr>
        <w:pStyle w:val="ListBullet"/>
      </w:pPr>
      <w:r>
        <w:rPr>
          <w:b/>
        </w:rPr>
        <w:t xml:space="preserve">Security Maturity: </w:t>
      </w:r>
      <w:r>
        <w:t>NIST CSF levels tracking</w:t>
      </w:r>
    </w:p>
    <w:p>
      <w:pPr>
        <w:pStyle w:val="ListBullet"/>
      </w:pPr>
      <w:r>
        <w:rPr>
          <w:b/>
        </w:rPr>
        <w:t xml:space="preserve">Innovation Index: </w:t>
      </w:r>
      <w:r>
        <w:t>New capabilities delivered per quarter</w:t>
      </w:r>
    </w:p>
    <w:p>
      <w:pPr>
        <w:pStyle w:val="ListBullet"/>
      </w:pPr>
      <w:r>
        <w:rPr>
          <w:b/>
        </w:rPr>
        <w:t xml:space="preserve">Cost Optimization: </w:t>
      </w:r>
      <w:r>
        <w:t>% savings vs baseline</w:t>
      </w:r>
    </w:p>
    <w:p>
      <w:pPr>
        <w:pStyle w:val="ListBullet"/>
      </w:pPr>
      <w:r>
        <w:rPr>
          <w:b/>
        </w:rPr>
        <w:t xml:space="preserve">Adoption Rate: </w:t>
      </w:r>
      <w:r>
        <w:t>End-user adoption of new capabilities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10. GROUP SYNERGY &amp; COLLABORATION</w:t>
      </w:r>
    </w:p>
    <w:p>
      <w:pPr>
        <w:pStyle w:val="ListBullet"/>
      </w:pPr>
      <w:r>
        <w:t>Shared platforms (FDS, data warehouse, cloud infrastructure)</w:t>
      </w:r>
    </w:p>
    <w:p>
      <w:pPr>
        <w:pStyle w:val="ListBullet"/>
      </w:pPr>
      <w:r>
        <w:t>Cross-entity integration opportunities</w:t>
      </w:r>
    </w:p>
    <w:p>
      <w:pPr>
        <w:pStyle w:val="ListBullet"/>
      </w:pPr>
      <w:r>
        <w:t>Standardization and cost optimization initiatives</w:t>
      </w:r>
    </w:p>
    <w:p>
      <w:pPr>
        <w:pStyle w:val="ListBullet"/>
      </w:pPr>
      <w:r>
        <w:t>Knowledge sharing and best practice adoption</w:t>
      </w:r>
    </w:p>
    <w:p>
      <w:pPr>
        <w:pStyle w:val="ListBullet"/>
      </w:pPr>
      <w:r>
        <w:t>Vendor consolidation and licensing optimization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IT Strategy Framework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EDI Group Technology Forum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