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EDI Group Information Security Policy</w:t>
      </w:r>
    </w:p>
    <w:p/>
    <w:p>
      <w:pPr>
        <w:jc w:val="center"/>
      </w:pPr>
      <w:r>
        <w:rPr>
          <w:color w:val="006699"/>
          <w:sz w:val="32"/>
        </w:rPr>
        <w:t>ISO 27001 &amp; NIST Cybersecurity Framework Aligned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Document Version: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April 09, 2026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Organization: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EDI Group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Classification: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Internal Use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Active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1. PURPOSE AND SCOPE</w:t>
      </w:r>
    </w:p>
    <w:p>
      <w:r>
        <w:t>This policy establishes the information security requirements and standards for all EDI Group entities. It is aligned with ISO/IEC 27001:2022 and the NIST Cybersecurity Framework (CSF 2.0).</w:t>
      </w:r>
    </w:p>
    <w:p>
      <w:pPr>
        <w:pStyle w:val="Heading2"/>
      </w:pPr>
      <w:r>
        <w:rPr>
          <w:b/>
          <w:color w:val="006699"/>
          <w:sz w:val="24"/>
        </w:rPr>
        <w:t>1.1 Applicability</w:t>
      </w:r>
    </w:p>
    <w:p>
      <w:pPr>
        <w:pStyle w:val="ListBullet"/>
      </w:pPr>
      <w:r>
        <w:t>All EDI Group subsidiaries and business units</w:t>
      </w:r>
    </w:p>
    <w:p>
      <w:pPr>
        <w:pStyle w:val="ListBullet"/>
      </w:pPr>
      <w:r>
        <w:t>All employees, contractors, and third-party service providers</w:t>
      </w:r>
    </w:p>
    <w:p>
      <w:pPr>
        <w:pStyle w:val="ListBullet"/>
      </w:pPr>
      <w:r>
        <w:t>All information systems and data (physical and digital)</w:t>
      </w:r>
    </w:p>
    <w:p>
      <w:pPr>
        <w:pStyle w:val="ListBullet"/>
      </w:pPr>
      <w:r>
        <w:t>Cloud and on-premise environments</w:t>
      </w:r>
    </w:p>
    <w:p>
      <w:pPr>
        <w:pStyle w:val="Heading1"/>
      </w:pPr>
      <w:r>
        <w:rPr>
          <w:b/>
          <w:color w:val="003366"/>
          <w:sz w:val="28"/>
        </w:rPr>
        <w:t>2. SECURITY GOVERNANCE</w:t>
      </w:r>
    </w:p>
    <w:p>
      <w:pPr>
        <w:pStyle w:val="Heading2"/>
      </w:pPr>
      <w:r>
        <w:rPr>
          <w:b/>
          <w:color w:val="006699"/>
          <w:sz w:val="24"/>
        </w:rPr>
        <w:t>2.1 Information Security Committee</w:t>
      </w:r>
    </w:p>
    <w:p>
      <w:r>
        <w:t>Chaired by Chief Information Security Officer (CISO)</w:t>
      </w:r>
    </w:p>
    <w:p>
      <w:r>
        <w:t>Includes IT, Risk, Compliance, and Business representatives</w:t>
      </w:r>
    </w:p>
    <w:p>
      <w:r>
        <w:t>Quarterly review of security posture and incidents</w:t>
      </w:r>
    </w:p>
    <w:p>
      <w:r>
        <w:t>Annual risk assessment and strategy review</w:t>
      </w:r>
    </w:p>
    <w:p>
      <w:pPr>
        <w:pStyle w:val="Heading2"/>
      </w:pPr>
      <w:r>
        <w:rPr>
          <w:b/>
          <w:color w:val="006699"/>
          <w:sz w:val="24"/>
        </w:rPr>
        <w:t>2.2 Roles and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Security Responsibilities</w:t>
            </w:r>
          </w:p>
        </w:tc>
      </w:tr>
      <w:tr>
        <w:tc>
          <w:tcPr>
            <w:tcW w:type="dxa" w:w="4320"/>
          </w:tcPr>
          <w:p>
            <w:r>
              <w:t>Board/Executive</w:t>
            </w:r>
          </w:p>
        </w:tc>
        <w:tc>
          <w:tcPr>
            <w:tcW w:type="dxa" w:w="4320"/>
          </w:tcPr>
          <w:p>
            <w:r>
              <w:t>Oversight, risk appetite, resource allocation</w:t>
            </w:r>
          </w:p>
        </w:tc>
      </w:tr>
      <w:tr>
        <w:tc>
          <w:tcPr>
            <w:tcW w:type="dxa" w:w="4320"/>
          </w:tcPr>
          <w:p>
            <w:r>
              <w:t>CISO</w:t>
            </w:r>
          </w:p>
        </w:tc>
        <w:tc>
          <w:tcPr>
            <w:tcW w:type="dxa" w:w="4320"/>
          </w:tcPr>
          <w:p>
            <w:r>
              <w:t>Strategy, governance, incident management</w:t>
            </w:r>
          </w:p>
        </w:tc>
      </w:tr>
      <w:tr>
        <w:tc>
          <w:tcPr>
            <w:tcW w:type="dxa" w:w="4320"/>
          </w:tcPr>
          <w:p>
            <w:r>
              <w:t>IT Leadership</w:t>
            </w:r>
          </w:p>
        </w:tc>
        <w:tc>
          <w:tcPr>
            <w:tcW w:type="dxa" w:w="4320"/>
          </w:tcPr>
          <w:p>
            <w:r>
              <w:t>Technical controls, vulnerability management</w:t>
            </w:r>
          </w:p>
        </w:tc>
      </w:tr>
      <w:tr>
        <w:tc>
          <w:tcPr>
            <w:tcW w:type="dxa" w:w="4320"/>
          </w:tcPr>
          <w:p>
            <w:r>
              <w:t>All Employees</w:t>
            </w:r>
          </w:p>
        </w:tc>
        <w:tc>
          <w:tcPr>
            <w:tcW w:type="dxa" w:w="4320"/>
          </w:tcPr>
          <w:p>
            <w:r>
              <w:t>Compliance, awareness, incident reporting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3. SECURITY CONTROLS FRAMEWORK</w:t>
      </w:r>
    </w:p>
    <w:p>
      <w:pPr>
        <w:pStyle w:val="Heading2"/>
      </w:pPr>
      <w:r>
        <w:rPr>
          <w:b/>
          <w:color w:val="006699"/>
          <w:sz w:val="24"/>
        </w:rPr>
        <w:t>3.1 ISO 27001 Control Areas</w:t>
      </w:r>
    </w:p>
    <w:p>
      <w:pPr>
        <w:pStyle w:val="ListBullet"/>
      </w:pPr>
      <w:r>
        <w:t>Access Control &amp; Identity Management (A.8)</w:t>
      </w:r>
    </w:p>
    <w:p>
      <w:pPr>
        <w:pStyle w:val="ListBullet"/>
      </w:pPr>
      <w:r>
        <w:t>Cryptography (A.10)</w:t>
      </w:r>
    </w:p>
    <w:p>
      <w:pPr>
        <w:pStyle w:val="ListBullet"/>
      </w:pPr>
      <w:r>
        <w:t>Physical and Environmental Security (A.11)</w:t>
      </w:r>
    </w:p>
    <w:p>
      <w:pPr>
        <w:pStyle w:val="ListBullet"/>
      </w:pPr>
      <w:r>
        <w:t>Operations Security (A.12)</w:t>
      </w:r>
    </w:p>
    <w:p>
      <w:pPr>
        <w:pStyle w:val="ListBullet"/>
      </w:pPr>
      <w:r>
        <w:t>Communications Security (A.13)</w:t>
      </w:r>
    </w:p>
    <w:p>
      <w:pPr>
        <w:pStyle w:val="ListBullet"/>
      </w:pPr>
      <w:r>
        <w:t>System Acquisition, Development &amp; Maintenance (A.14)</w:t>
      </w:r>
    </w:p>
    <w:p>
      <w:pPr>
        <w:pStyle w:val="ListBullet"/>
      </w:pPr>
      <w:r>
        <w:t>Supplier Relationships (A.15)</w:t>
      </w:r>
    </w:p>
    <w:p>
      <w:pPr>
        <w:pStyle w:val="ListBullet"/>
      </w:pPr>
      <w:r>
        <w:t>Information Security Incident Management (A.16)</w:t>
      </w:r>
    </w:p>
    <w:p>
      <w:pPr>
        <w:pStyle w:val="ListBullet"/>
      </w:pPr>
      <w:r>
        <w:t>Business Continuity Management (A.17)</w:t>
      </w:r>
    </w:p>
    <w:p>
      <w:pPr>
        <w:pStyle w:val="ListBullet"/>
      </w:pPr>
      <w:r>
        <w:t>Compliance (A.18)</w:t>
      </w:r>
    </w:p>
    <w:p>
      <w:pPr>
        <w:pStyle w:val="Heading2"/>
      </w:pPr>
      <w:r>
        <w:rPr>
          <w:b/>
          <w:color w:val="006699"/>
          <w:sz w:val="24"/>
        </w:rPr>
        <w:t>3.2 NIST CSF 2.0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GOVERN</w:t>
            </w:r>
          </w:p>
        </w:tc>
        <w:tc>
          <w:tcPr>
            <w:tcW w:type="dxa" w:w="4320"/>
          </w:tcPr>
          <w:p>
            <w:r>
              <w:t>Establish policies, procedures, and processes</w:t>
            </w:r>
          </w:p>
        </w:tc>
      </w:tr>
      <w:tr>
        <w:tc>
          <w:tcPr>
            <w:tcW w:type="dxa" w:w="4320"/>
          </w:tcPr>
          <w:p>
            <w:r>
              <w:t>IDENTIFY</w:t>
            </w:r>
          </w:p>
        </w:tc>
        <w:tc>
          <w:tcPr>
            <w:tcW w:type="dxa" w:w="4320"/>
          </w:tcPr>
          <w:p>
            <w:r>
              <w:t>Detect assets and understand cybersecurity risks</w:t>
            </w:r>
          </w:p>
        </w:tc>
      </w:tr>
      <w:tr>
        <w:tc>
          <w:tcPr>
            <w:tcW w:type="dxa" w:w="4320"/>
          </w:tcPr>
          <w:p>
            <w:r>
              <w:t>PROTECT</w:t>
            </w:r>
          </w:p>
        </w:tc>
        <w:tc>
          <w:tcPr>
            <w:tcW w:type="dxa" w:w="4320"/>
          </w:tcPr>
          <w:p>
            <w:r>
              <w:t>Implement safeguards to defend against attacks</w:t>
            </w:r>
          </w:p>
        </w:tc>
      </w:tr>
      <w:tr>
        <w:tc>
          <w:tcPr>
            <w:tcW w:type="dxa" w:w="4320"/>
          </w:tcPr>
          <w:p>
            <w:r>
              <w:t>DETECT</w:t>
            </w:r>
          </w:p>
        </w:tc>
        <w:tc>
          <w:tcPr>
            <w:tcW w:type="dxa" w:w="4320"/>
          </w:tcPr>
          <w:p>
            <w:r>
              <w:t>Identify and investigate security events</w:t>
            </w:r>
          </w:p>
        </w:tc>
      </w:tr>
      <w:tr>
        <w:tc>
          <w:tcPr>
            <w:tcW w:type="dxa" w:w="4320"/>
          </w:tcPr>
          <w:p>
            <w:r>
              <w:t>RESPOND</w:t>
            </w:r>
          </w:p>
        </w:tc>
        <w:tc>
          <w:tcPr>
            <w:tcW w:type="dxa" w:w="4320"/>
          </w:tcPr>
          <w:p>
            <w:r>
              <w:t>Take action to stop and recover from attacks</w:t>
            </w:r>
          </w:p>
        </w:tc>
      </w:tr>
      <w:tr>
        <w:tc>
          <w:tcPr>
            <w:tcW w:type="dxa" w:w="4320"/>
          </w:tcPr>
          <w:p>
            <w:r>
              <w:t>RECOVER</w:t>
            </w:r>
          </w:p>
        </w:tc>
        <w:tc>
          <w:tcPr>
            <w:tcW w:type="dxa" w:w="4320"/>
          </w:tcPr>
          <w:p>
            <w:r>
              <w:t>Restore systems to normal operations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4. ACCESS CONTROL POLICY</w:t>
      </w:r>
    </w:p>
    <w:p>
      <w:pPr>
        <w:pStyle w:val="Heading2"/>
      </w:pPr>
      <w:r>
        <w:rPr>
          <w:b/>
          <w:color w:val="006699"/>
          <w:sz w:val="24"/>
        </w:rPr>
        <w:t>4.1 Authentication Requirements</w:t>
      </w:r>
    </w:p>
    <w:p>
      <w:pPr>
        <w:pStyle w:val="ListBullet"/>
      </w:pPr>
      <w:r>
        <w:t>Multi-Factor Authentication (MFA) for all critical systems</w:t>
      </w:r>
    </w:p>
    <w:p>
      <w:pPr>
        <w:pStyle w:val="ListBullet"/>
      </w:pPr>
      <w:r>
        <w:t>Strong password policies (minimum 12 characters, complexity)</w:t>
      </w:r>
    </w:p>
    <w:p>
      <w:pPr>
        <w:pStyle w:val="ListBullet"/>
      </w:pPr>
      <w:r>
        <w:t>Regular password changes (every 90 days)</w:t>
      </w:r>
    </w:p>
    <w:p>
      <w:pPr>
        <w:pStyle w:val="ListBullet"/>
      </w:pPr>
      <w:r>
        <w:t>Account lockout after 5 failed attempts</w:t>
      </w:r>
    </w:p>
    <w:p>
      <w:pPr>
        <w:pStyle w:val="ListBullet"/>
      </w:pPr>
      <w:r>
        <w:t>Session timeout (inactive for 15 minutes)</w:t>
      </w:r>
    </w:p>
    <w:p>
      <w:pPr>
        <w:pStyle w:val="Heading2"/>
      </w:pPr>
      <w:r>
        <w:rPr>
          <w:b/>
          <w:color w:val="006699"/>
          <w:sz w:val="24"/>
        </w:rPr>
        <w:t>4.2 Authorization &amp; Access Management</w:t>
      </w:r>
    </w:p>
    <w:p>
      <w:pPr>
        <w:pStyle w:val="ListBullet"/>
      </w:pPr>
      <w:r>
        <w:t>Role-based access control (RBAC) implementation</w:t>
      </w:r>
    </w:p>
    <w:p>
      <w:pPr>
        <w:pStyle w:val="ListBullet"/>
      </w:pPr>
      <w:r>
        <w:t>Principle of least privilege for all access grants</w:t>
      </w:r>
    </w:p>
    <w:p>
      <w:pPr>
        <w:pStyle w:val="ListBullet"/>
      </w:pPr>
      <w:r>
        <w:t>Quarterly access reviews by business owners</w:t>
      </w:r>
    </w:p>
    <w:p>
      <w:pPr>
        <w:pStyle w:val="ListBullet"/>
      </w:pPr>
      <w:r>
        <w:t>Immediate revocation upon role changes or termination</w:t>
      </w:r>
    </w:p>
    <w:p>
      <w:pPr>
        <w:pStyle w:val="ListBullet"/>
      </w:pPr>
      <w:r>
        <w:t>Segregation of duties (incompatible functions separation)</w:t>
      </w:r>
    </w:p>
    <w:p>
      <w:pPr>
        <w:pStyle w:val="Heading1"/>
      </w:pPr>
      <w:r>
        <w:rPr>
          <w:b/>
          <w:color w:val="003366"/>
          <w:sz w:val="28"/>
        </w:rPr>
        <w:t>5. DATA PROTECTION &amp; PRIVACY</w:t>
      </w:r>
    </w:p>
    <w:p>
      <w:pPr>
        <w:pStyle w:val="Heading2"/>
      </w:pPr>
      <w:r>
        <w:rPr>
          <w:b/>
          <w:color w:val="006699"/>
          <w:sz w:val="24"/>
        </w:rPr>
        <w:t>5.1 Data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Protection Level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No confidentiality impact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Internal use only</w:t>
            </w:r>
          </w:p>
        </w:tc>
        <w:tc>
          <w:tcPr>
            <w:tcW w:type="dxa" w:w="2880"/>
          </w:tcPr>
          <w:p>
            <w:r>
              <w:t>Standard + Access control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Restricted access, business sensitive</w:t>
            </w:r>
          </w:p>
        </w:tc>
        <w:tc>
          <w:tcPr>
            <w:tcW w:type="dxa" w:w="2880"/>
          </w:tcPr>
          <w:p>
            <w:r>
              <w:t>Strong encryption + MFA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Highly sensitive, regulatory</w:t>
            </w:r>
          </w:p>
        </w:tc>
        <w:tc>
          <w:tcPr>
            <w:tcW w:type="dxa" w:w="2880"/>
          </w:tcPr>
          <w:p>
            <w:r>
              <w:t>Maximum encryption + Audit</w:t>
            </w:r>
          </w:p>
        </w:tc>
      </w:tr>
    </w:tbl>
    <w:p>
      <w:pPr>
        <w:pStyle w:val="Heading2"/>
      </w:pPr>
      <w:r>
        <w:rPr>
          <w:b/>
          <w:color w:val="006699"/>
          <w:sz w:val="24"/>
        </w:rPr>
        <w:t>5.2 Encryption Standards</w:t>
      </w:r>
    </w:p>
    <w:p>
      <w:pPr>
        <w:pStyle w:val="ListBullet"/>
      </w:pPr>
      <w:r>
        <w:t>Data at rest: AES-256 or equivalent</w:t>
      </w:r>
    </w:p>
    <w:p>
      <w:pPr>
        <w:pStyle w:val="ListBullet"/>
      </w:pPr>
      <w:r>
        <w:t>Data in transit: TLS 1.2 or higher</w:t>
      </w:r>
    </w:p>
    <w:p>
      <w:pPr>
        <w:pStyle w:val="ListBullet"/>
      </w:pPr>
      <w:r>
        <w:t>Database encryption with key management</w:t>
      </w:r>
    </w:p>
    <w:p>
      <w:pPr>
        <w:pStyle w:val="ListBullet"/>
      </w:pPr>
      <w:r>
        <w:t>Secure key storage and rotation (annually)</w:t>
      </w:r>
    </w:p>
    <w:p>
      <w:pPr>
        <w:pStyle w:val="Heading1"/>
      </w:pPr>
      <w:r>
        <w:rPr>
          <w:b/>
          <w:color w:val="003366"/>
          <w:sz w:val="28"/>
        </w:rPr>
        <w:t>6. INCIDENT MANAGEMENT</w:t>
      </w:r>
    </w:p>
    <w:p>
      <w:pPr>
        <w:pStyle w:val="Heading2"/>
      </w:pPr>
      <w:r>
        <w:rPr>
          <w:b/>
          <w:color w:val="006699"/>
          <w:sz w:val="24"/>
        </w:rPr>
        <w:t>6.1 Incident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Major breach, system outage &gt;1 hour</w:t>
            </w:r>
          </w:p>
        </w:tc>
        <w:tc>
          <w:tcPr>
            <w:tcW w:type="dxa" w:w="2880"/>
          </w:tcPr>
          <w:p>
            <w:r>
              <w:t>Immediate (30 min)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Potential unauthorized access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Policy violation, minor breach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Information only, no impact</w:t>
            </w:r>
          </w:p>
        </w:tc>
        <w:tc>
          <w:tcPr>
            <w:tcW w:type="dxa" w:w="2880"/>
          </w:tcPr>
          <w:p>
            <w:r>
              <w:t>48 hours</w:t>
            </w:r>
          </w:p>
        </w:tc>
      </w:tr>
    </w:tbl>
    <w:p>
      <w:pPr>
        <w:pStyle w:val="Heading2"/>
      </w:pPr>
      <w:r>
        <w:rPr>
          <w:b/>
          <w:color w:val="006699"/>
          <w:sz w:val="24"/>
        </w:rPr>
        <w:t>6.2 Incident Response Procedure</w:t>
      </w:r>
    </w:p>
    <w:p>
      <w:pPr>
        <w:pStyle w:val="ListBullet"/>
      </w:pPr>
      <w:r>
        <w:t>1. Immediate escalation to Security Operations Center (SOC)</w:t>
      </w:r>
    </w:p>
    <w:p>
      <w:pPr>
        <w:pStyle w:val="ListBullet"/>
      </w:pPr>
      <w:r>
        <w:t>2. Incident logging and tracking</w:t>
      </w:r>
    </w:p>
    <w:p>
      <w:pPr>
        <w:pStyle w:val="ListBullet"/>
      </w:pPr>
      <w:r>
        <w:t>3. Forensic investigation and containment</w:t>
      </w:r>
    </w:p>
    <w:p>
      <w:pPr>
        <w:pStyle w:val="ListBullet"/>
      </w:pPr>
      <w:r>
        <w:t>4. Impact assessment and remediation</w:t>
      </w:r>
    </w:p>
    <w:p>
      <w:pPr>
        <w:pStyle w:val="ListBullet"/>
      </w:pPr>
      <w:r>
        <w:t>5. Post-incident review and lessons learned</w:t>
      </w:r>
    </w:p>
    <w:p>
      <w:pPr>
        <w:pStyle w:val="ListBullet"/>
      </w:pPr>
      <w:r>
        <w:t>6. Regulatory reporting (if required)</w:t>
      </w:r>
    </w:p>
    <w:p>
      <w:pPr>
        <w:pStyle w:val="Heading1"/>
      </w:pPr>
      <w:r>
        <w:rPr>
          <w:b/>
          <w:color w:val="003366"/>
          <w:sz w:val="28"/>
        </w:rPr>
        <w:t>7. VULNERABILITY &amp; PATCH MANAGEMENT</w:t>
      </w:r>
    </w:p>
    <w:p>
      <w:pPr>
        <w:pStyle w:val="ListBullet"/>
      </w:pPr>
      <w:r>
        <w:t>Monthly vulnerability scanning of all systems</w:t>
      </w:r>
    </w:p>
    <w:p>
      <w:pPr>
        <w:pStyle w:val="ListBullet"/>
      </w:pPr>
      <w:r>
        <w:t>Quarterly penetration testing</w:t>
      </w:r>
    </w:p>
    <w:p>
      <w:pPr>
        <w:pStyle w:val="ListBullet"/>
      </w:pPr>
      <w:r>
        <w:t>Critical patches within 24 hours</w:t>
      </w:r>
    </w:p>
    <w:p>
      <w:pPr>
        <w:pStyle w:val="ListBullet"/>
      </w:pPr>
      <w:r>
        <w:t>High patches within 5 days</w:t>
      </w:r>
    </w:p>
    <w:p>
      <w:pPr>
        <w:pStyle w:val="ListBullet"/>
      </w:pPr>
      <w:r>
        <w:t>Medium patches within 30 days</w:t>
      </w:r>
    </w:p>
    <w:p>
      <w:r>
        <w:t>Vulnerability disclosure program</w:t>
      </w:r>
    </w:p>
    <w:p>
      <w:pPr>
        <w:pStyle w:val="Heading1"/>
      </w:pPr>
      <w:r>
        <w:rPr>
          <w:b/>
          <w:color w:val="003366"/>
          <w:sz w:val="28"/>
        </w:rPr>
        <w:t>8. BUSINESS CONTINUITY &amp; DISASTER RECOVERY</w:t>
      </w:r>
    </w:p>
    <w:p>
      <w:pPr>
        <w:pStyle w:val="Heading2"/>
      </w:pPr>
      <w:r>
        <w:rPr>
          <w:b/>
          <w:color w:val="006699"/>
          <w:sz w:val="24"/>
        </w:rPr>
        <w:t>8.1 Recovery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Type</w:t>
            </w:r>
          </w:p>
        </w:tc>
        <w:tc>
          <w:tcPr>
            <w:tcW w:type="dxa" w:w="2880"/>
          </w:tcPr>
          <w:p>
            <w:r>
              <w:t>RTO</w:t>
            </w:r>
          </w:p>
        </w:tc>
        <w:tc>
          <w:tcPr>
            <w:tcW w:type="dxa" w:w="2880"/>
          </w:tcPr>
          <w:p>
            <w:r>
              <w:t>RPO</w:t>
            </w:r>
          </w:p>
        </w:tc>
      </w:tr>
      <w:tr>
        <w:tc>
          <w:tcPr>
            <w:tcW w:type="dxa" w:w="2880"/>
          </w:tcPr>
          <w:p>
            <w:r>
              <w:t>Critical (Customer-facing)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Important (Internal)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72 hours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</w:tbl>
    <w:p>
      <w:pPr>
        <w:pStyle w:val="Heading2"/>
      </w:pPr>
      <w:r>
        <w:rPr>
          <w:b/>
          <w:color w:val="006699"/>
          <w:sz w:val="24"/>
        </w:rPr>
        <w:t>8.2 DR Testing</w:t>
      </w:r>
    </w:p>
    <w:p>
      <w:r>
        <w:t>Full DR test annually</w:t>
      </w:r>
    </w:p>
    <w:p>
      <w:r>
        <w:t>Partial tests quarterly</w:t>
      </w:r>
    </w:p>
    <w:p>
      <w:r>
        <w:t>Documented results and remediation</w:t>
      </w:r>
    </w:p>
    <w:p>
      <w:pPr>
        <w:pStyle w:val="Heading1"/>
      </w:pPr>
      <w:r>
        <w:rPr>
          <w:b/>
          <w:color w:val="003366"/>
          <w:sz w:val="28"/>
        </w:rPr>
        <w:t>9. THIRD-PARTY &amp; VENDOR MANAGEMENT</w:t>
      </w:r>
    </w:p>
    <w:p>
      <w:pPr>
        <w:pStyle w:val="ListBullet"/>
      </w:pPr>
      <w:r>
        <w:t>Security assessment before vendor engagement</w:t>
      </w:r>
    </w:p>
    <w:p>
      <w:pPr>
        <w:pStyle w:val="ListBullet"/>
      </w:pPr>
      <w:r>
        <w:t>Data processing agreements (DPA) for data processors</w:t>
      </w:r>
    </w:p>
    <w:p>
      <w:pPr>
        <w:pStyle w:val="ListBullet"/>
      </w:pPr>
      <w:r>
        <w:t>Regular vendor security audits</w:t>
      </w:r>
    </w:p>
    <w:p>
      <w:pPr>
        <w:pStyle w:val="ListBullet"/>
      </w:pPr>
      <w:r>
        <w:t>Service level agreements (SLA) with security requirements</w:t>
      </w:r>
    </w:p>
    <w:p>
      <w:pPr>
        <w:pStyle w:val="ListBullet"/>
      </w:pPr>
      <w:r>
        <w:t>Vendor incident notification requirements</w:t>
      </w:r>
    </w:p>
    <w:p>
      <w:pPr>
        <w:pStyle w:val="ListBullet"/>
      </w:pPr>
      <w:r>
        <w:t>Right to audit and inspection clauses</w:t>
      </w:r>
    </w:p>
    <w:p>
      <w:pPr>
        <w:pStyle w:val="Heading1"/>
      </w:pPr>
      <w:r>
        <w:rPr>
          <w:b/>
          <w:color w:val="003366"/>
          <w:sz w:val="28"/>
        </w:rPr>
        <w:t>10. COMPLIANCE &amp; AUDIT</w:t>
      </w:r>
    </w:p>
    <w:p>
      <w:r>
        <w:t>All entities must maintain compliance with applicable regulations including OJK, BI requirements, and industry standards.</w:t>
      </w:r>
    </w:p>
    <w:p>
      <w:pPr>
        <w:pStyle w:val="ListBullet"/>
      </w:pPr>
      <w:r>
        <w:t>Annual ISO 27001 compliance assessment</w:t>
      </w:r>
    </w:p>
    <w:p>
      <w:pPr>
        <w:pStyle w:val="ListBullet"/>
      </w:pPr>
      <w:r>
        <w:t>External audit (annually or as required)</w:t>
      </w:r>
    </w:p>
    <w:p>
      <w:pPr>
        <w:pStyle w:val="ListBullet"/>
      </w:pPr>
      <w:r>
        <w:t>Regulatory compliance reviews (OJK, BI)</w:t>
      </w:r>
    </w:p>
    <w:p>
      <w:pPr>
        <w:pStyle w:val="ListBullet"/>
      </w:pPr>
      <w:r>
        <w:t>Internal audit program</w:t>
      </w:r>
    </w:p>
    <w:p>
      <w:pPr>
        <w:pStyle w:val="ListBullet"/>
      </w:pPr>
      <w:r>
        <w:t>Audit findings tracking and remediation</w:t>
      </w:r>
    </w:p>
    <w:p>
      <w:pPr>
        <w:pStyle w:val="Heading1"/>
      </w:pPr>
      <w:r>
        <w:rPr>
          <w:b/>
          <w:color w:val="003366"/>
          <w:sz w:val="28"/>
        </w:rPr>
        <w:t>11. SECURITY AWARENESS &amp; TRAINING</w:t>
      </w:r>
    </w:p>
    <w:p>
      <w:r>
        <w:t>Mandatory annual security awareness training for all employees</w:t>
      </w:r>
    </w:p>
    <w:p>
      <w:r>
        <w:t>Role-specific security training</w:t>
      </w:r>
    </w:p>
    <w:p>
      <w:r>
        <w:t>Phishing simulation campaigns</w:t>
      </w:r>
    </w:p>
    <w:p>
      <w:r>
        <w:t>New employee security onboarding</w:t>
      </w:r>
    </w:p>
    <w:p>
      <w:r>
        <w:t>Vendor and contractor security training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Information Security Policy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EDI Group Technology Forum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