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EDI Group Technology Forum</w:t>
      </w:r>
    </w:p>
    <w:p/>
    <w:p>
      <w:pPr>
        <w:jc w:val="center"/>
      </w:pPr>
      <w:r>
        <w:rPr>
          <w:color w:val="006699"/>
          <w:sz w:val="32"/>
        </w:rPr>
        <w:t>Knowledge Sharing &amp; Collaboration Guidelines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Document Version: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Date: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April 09, 2026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Organization: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EDI Group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Classification: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Internal Use</w:t>
            </w:r>
          </w:p>
        </w:tc>
      </w:tr>
      <w:tr>
        <w:tc>
          <w:tcPr>
            <w:tcW w:type="dxa" w:w="4320"/>
            <w:shd w:fill="D5E8F0"/>
          </w:tcPr>
          <w:p>
            <w:r>
              <w:rPr>
                <w:sz w:val="22"/>
              </w:rPr>
              <w:t>Status: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Active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1. INTRODUCTION</w:t>
      </w:r>
    </w:p>
    <w:p>
      <w:r>
        <w:t>Effective knowledge sharing is critical to the Forum's success. These guidelines establish best practices for capturing, organizing, and sharing knowledge across EDI Group subsidiaries.</w:t>
      </w:r>
    </w:p>
    <w:p>
      <w:pPr>
        <w:pStyle w:val="Heading1"/>
      </w:pPr>
      <w:r>
        <w:rPr>
          <w:b/>
          <w:color w:val="003366"/>
          <w:sz w:val="28"/>
        </w:rPr>
        <w:t>2. KNOWLEDGE SHARING PRINCIPLES</w:t>
      </w:r>
    </w:p>
    <w:p>
      <w:pPr>
        <w:pStyle w:val="ListBullet"/>
      </w:pPr>
      <w:r>
        <w:rPr>
          <w:b/>
        </w:rPr>
        <w:t xml:space="preserve">Transparency: </w:t>
      </w:r>
      <w:r>
        <w:t>Open sharing of learnings and experiences</w:t>
      </w:r>
    </w:p>
    <w:p>
      <w:pPr>
        <w:pStyle w:val="ListBullet"/>
      </w:pPr>
      <w:r>
        <w:rPr>
          <w:b/>
        </w:rPr>
        <w:t xml:space="preserve">Collaboration: </w:t>
      </w:r>
      <w:r>
        <w:t>Collective problem-solving and innovation</w:t>
      </w:r>
    </w:p>
    <w:p>
      <w:pPr>
        <w:pStyle w:val="ListBullet"/>
      </w:pPr>
      <w:r>
        <w:rPr>
          <w:b/>
        </w:rPr>
        <w:t xml:space="preserve">Confidentiality: </w:t>
      </w:r>
      <w:r>
        <w:t>Respect for sensitive business information</w:t>
      </w:r>
    </w:p>
    <w:p>
      <w:pPr>
        <w:pStyle w:val="ListBullet"/>
      </w:pPr>
      <w:r>
        <w:rPr>
          <w:b/>
        </w:rPr>
        <w:t xml:space="preserve">Practicality: </w:t>
      </w:r>
      <w:r>
        <w:t>Focus on actionable and applicable knowledge</w:t>
      </w:r>
    </w:p>
    <w:p>
      <w:pPr>
        <w:pStyle w:val="ListBullet"/>
      </w:pPr>
      <w:r>
        <w:rPr>
          <w:b/>
        </w:rPr>
        <w:t xml:space="preserve">Accountability: </w:t>
      </w:r>
      <w:r>
        <w:t>Ownership of shared information quality</w:t>
      </w:r>
    </w:p>
    <w:p>
      <w:pPr>
        <w:pStyle w:val="Heading1"/>
      </w:pPr>
      <w:r>
        <w:rPr>
          <w:b/>
          <w:color w:val="003366"/>
          <w:sz w:val="28"/>
        </w:rPr>
        <w:t>3. KNOWLEDGE DOMAINS</w:t>
      </w:r>
    </w:p>
    <w:p>
      <w:pPr>
        <w:pStyle w:val="Heading2"/>
      </w:pPr>
      <w:r>
        <w:rPr>
          <w:b/>
          <w:color w:val="006699"/>
          <w:sz w:val="24"/>
        </w:rPr>
        <w:t>3.1 Strategic Knowledge</w:t>
      </w:r>
    </w:p>
    <w:p>
      <w:r>
        <w:t>IT strategy and vision</w:t>
      </w:r>
    </w:p>
    <w:p>
      <w:r>
        <w:t>Business alignment approaches</w:t>
      </w:r>
    </w:p>
    <w:p>
      <w:r>
        <w:t>Technology roadmap and architecture decisions</w:t>
      </w:r>
    </w:p>
    <w:p>
      <w:r>
        <w:t>Competitive intelligence and market trends</w:t>
      </w:r>
    </w:p>
    <w:p>
      <w:pPr>
        <w:pStyle w:val="Heading2"/>
      </w:pPr>
      <w:r>
        <w:rPr>
          <w:b/>
          <w:color w:val="006699"/>
          <w:sz w:val="24"/>
        </w:rPr>
        <w:t>3.2 Technical Knowledge</w:t>
      </w:r>
    </w:p>
    <w:p>
      <w:r>
        <w:t>Technology platforms and tools</w:t>
      </w:r>
    </w:p>
    <w:p>
      <w:r>
        <w:t>Integration patterns and architecture</w:t>
      </w:r>
    </w:p>
    <w:p>
      <w:r>
        <w:t>Security best practices</w:t>
      </w:r>
    </w:p>
    <w:p>
      <w:r>
        <w:t>Performance optimization techniques</w:t>
      </w:r>
    </w:p>
    <w:p>
      <w:pPr>
        <w:pStyle w:val="Heading2"/>
      </w:pPr>
      <w:r>
        <w:rPr>
          <w:b/>
          <w:color w:val="006699"/>
          <w:sz w:val="24"/>
        </w:rPr>
        <w:t>3.3 Operational Knowledge</w:t>
      </w:r>
    </w:p>
    <w:p>
      <w:r>
        <w:t>Service delivery best practices</w:t>
      </w:r>
    </w:p>
    <w:p>
      <w:r>
        <w:t>Process improvements and lessons learned</w:t>
      </w:r>
    </w:p>
    <w:p>
      <w:r>
        <w:t>Vendor management experiences</w:t>
      </w:r>
    </w:p>
    <w:p>
      <w:r>
        <w:t>Cost optimization initiatives</w:t>
      </w:r>
    </w:p>
    <w:p>
      <w:pPr>
        <w:pStyle w:val="Heading2"/>
      </w:pPr>
      <w:r>
        <w:rPr>
          <w:b/>
          <w:color w:val="006699"/>
          <w:sz w:val="24"/>
        </w:rPr>
        <w:t>3.4 Risk &amp; Compliance Knowledge</w:t>
      </w:r>
    </w:p>
    <w:p>
      <w:r>
        <w:t>Security incident case studies</w:t>
      </w:r>
    </w:p>
    <w:p>
      <w:r>
        <w:t>Compliance lessons learned</w:t>
      </w:r>
    </w:p>
    <w:p>
      <w:r>
        <w:t>Risk mitigation strategies</w:t>
      </w:r>
    </w:p>
    <w:p>
      <w:r>
        <w:t>Regulatory interpretation guidance</w:t>
      </w:r>
    </w:p>
    <w:p>
      <w:pPr>
        <w:pStyle w:val="Heading1"/>
      </w:pPr>
      <w:r>
        <w:rPr>
          <w:b/>
          <w:color w:val="003366"/>
          <w:sz w:val="28"/>
        </w:rPr>
        <w:t>4. KNOWLEDGE CAPTURE PROCESS</w:t>
      </w:r>
    </w:p>
    <w:p>
      <w:pPr>
        <w:pStyle w:val="Heading2"/>
      </w:pPr>
      <w:r>
        <w:rPr>
          <w:b/>
          <w:color w:val="006699"/>
          <w:sz w:val="24"/>
        </w:rPr>
        <w:t>4.1 Knowledge Capture Requirements</w:t>
      </w:r>
    </w:p>
    <w:p>
      <w:pPr>
        <w:pStyle w:val="ListBullet"/>
      </w:pPr>
      <w:r>
        <w:t>1. Document owner and contact information</w:t>
      </w:r>
    </w:p>
    <w:p>
      <w:pPr>
        <w:pStyle w:val="ListBullet"/>
      </w:pPr>
      <w:r>
        <w:t>2. Creation/update date and version</w:t>
      </w:r>
    </w:p>
    <w:p>
      <w:pPr>
        <w:pStyle w:val="ListBullet"/>
      </w:pPr>
      <w:r>
        <w:t>3. Audience and applicability</w:t>
      </w:r>
    </w:p>
    <w:p>
      <w:pPr>
        <w:pStyle w:val="ListBullet"/>
      </w:pPr>
      <w:r>
        <w:t>4. Key learnings and insights</w:t>
      </w:r>
    </w:p>
    <w:p>
      <w:pPr>
        <w:pStyle w:val="ListBullet"/>
      </w:pPr>
      <w:r>
        <w:t>5. Recommendations and best practices</w:t>
      </w:r>
    </w:p>
    <w:p>
      <w:pPr>
        <w:pStyle w:val="ListBullet"/>
      </w:pPr>
      <w:r>
        <w:t>6. Related documents and references</w:t>
      </w:r>
    </w:p>
    <w:p>
      <w:pPr>
        <w:pStyle w:val="Heading2"/>
      </w:pPr>
      <w:r>
        <w:rPr>
          <w:b/>
          <w:color w:val="006699"/>
          <w:sz w:val="24"/>
        </w:rPr>
        <w:t>4.2 Knowledge Documentation Template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Title &amp; Context</w:t>
            </w:r>
          </w:p>
        </w:tc>
        <w:tc>
          <w:tcPr>
            <w:tcW w:type="dxa" w:w="4320"/>
          </w:tcPr>
          <w:p>
            <w:r>
              <w:t>Clear description of topic and background</w:t>
            </w:r>
          </w:p>
        </w:tc>
      </w:tr>
      <w:tr>
        <w:tc>
          <w:tcPr>
            <w:tcW w:type="dxa" w:w="4320"/>
          </w:tcPr>
          <w:p>
            <w:r>
              <w:t>Key Learnings</w:t>
            </w:r>
          </w:p>
        </w:tc>
        <w:tc>
          <w:tcPr>
            <w:tcW w:type="dxa" w:w="4320"/>
          </w:tcPr>
          <w:p>
            <w:r>
              <w:t>Main insights and discoveries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Steps taken, timeline, resources used</w:t>
            </w:r>
          </w:p>
        </w:tc>
      </w:tr>
      <w:tr>
        <w:tc>
          <w:tcPr>
            <w:tcW w:type="dxa" w:w="4320"/>
          </w:tcPr>
          <w:p>
            <w:r>
              <w:t>Results &amp; Impact</w:t>
            </w:r>
          </w:p>
        </w:tc>
        <w:tc>
          <w:tcPr>
            <w:tcW w:type="dxa" w:w="4320"/>
          </w:tcPr>
          <w:p>
            <w:r>
              <w:t>Outcomes achieved and measurable benefits</w:t>
            </w:r>
          </w:p>
        </w:tc>
      </w:tr>
      <w:tr>
        <w:tc>
          <w:tcPr>
            <w:tcW w:type="dxa" w:w="4320"/>
          </w:tcPr>
          <w:p>
            <w:r>
              <w:t>Lessons Learned</w:t>
            </w:r>
          </w:p>
        </w:tc>
        <w:tc>
          <w:tcPr>
            <w:tcW w:type="dxa" w:w="4320"/>
          </w:tcPr>
          <w:p>
            <w:r>
              <w:t>What worked well, what to improve, recommendations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5. KNOWLEDGE REPOSITORY</w:t>
      </w:r>
    </w:p>
    <w:p>
      <w:pPr>
        <w:pStyle w:val="Heading2"/>
      </w:pPr>
      <w:r>
        <w:rPr>
          <w:b/>
          <w:color w:val="006699"/>
          <w:sz w:val="24"/>
        </w:rPr>
        <w:t>5.1 Repository Structure</w:t>
      </w:r>
    </w:p>
    <w:p>
      <w:pPr>
        <w:pStyle w:val="ListBullet"/>
      </w:pPr>
      <w:r>
        <w:t>Strategic Initiatives</w:t>
      </w:r>
    </w:p>
    <w:p>
      <w:pPr>
        <w:pStyle w:val="ListBullet"/>
      </w:pPr>
      <w:r>
        <w:t>Technology Assessments</w:t>
      </w:r>
    </w:p>
    <w:p>
      <w:pPr>
        <w:pStyle w:val="ListBullet"/>
      </w:pPr>
      <w:r>
        <w:t>Best Practices &amp; Guidelines</w:t>
      </w:r>
    </w:p>
    <w:p>
      <w:pPr>
        <w:pStyle w:val="ListBullet"/>
      </w:pPr>
      <w:r>
        <w:t>Case Studies &amp; Lessons Learned</w:t>
      </w:r>
    </w:p>
    <w:p>
      <w:pPr>
        <w:pStyle w:val="ListBullet"/>
      </w:pPr>
      <w:r>
        <w:t>Risk &amp; Compliance Insights</w:t>
      </w:r>
    </w:p>
    <w:p>
      <w:pPr>
        <w:pStyle w:val="ListBullet"/>
      </w:pPr>
      <w:r>
        <w:t>Vendor &amp; Tool Evaluations</w:t>
      </w:r>
    </w:p>
    <w:p>
      <w:pPr>
        <w:pStyle w:val="Heading2"/>
      </w:pPr>
      <w:r>
        <w:rPr>
          <w:b/>
          <w:color w:val="006699"/>
          <w:sz w:val="24"/>
        </w:rPr>
        <w:t>5.2 Access &amp; Security</w:t>
      </w:r>
    </w:p>
    <w:p>
      <w:r>
        <w:t>Public knowledge: Accessible to all EDI Group subsidiaries</w:t>
      </w:r>
    </w:p>
    <w:p>
      <w:r>
        <w:t>Confidential knowledge: Access restricted by CISO approval</w:t>
      </w:r>
    </w:p>
    <w:p>
      <w:r>
        <w:t>Sensitive business data: Anonymized or aggregated</w:t>
      </w:r>
    </w:p>
    <w:p>
      <w:r>
        <w:t>User authentication required for access</w:t>
      </w:r>
    </w:p>
    <w:p>
      <w:r>
        <w:t>Audit logging of access to sensitive documents</w:t>
      </w:r>
    </w:p>
    <w:p>
      <w:pPr>
        <w:pStyle w:val="Heading1"/>
      </w:pPr>
      <w:r>
        <w:rPr>
          <w:b/>
          <w:color w:val="003366"/>
          <w:sz w:val="28"/>
        </w:rPr>
        <w:t>6. KNOWLEDGE SHARING SESSION FORMATS</w:t>
      </w:r>
    </w:p>
    <w:p>
      <w:pPr>
        <w:pStyle w:val="Heading2"/>
      </w:pPr>
      <w:r>
        <w:rPr>
          <w:b/>
          <w:color w:val="006699"/>
          <w:sz w:val="24"/>
        </w:rPr>
        <w:t>6.1 Annual Strategy Sharing</w:t>
      </w:r>
    </w:p>
    <w:p>
      <w:r>
        <w:t>Format: 2-3 day in-person or hybrid session</w:t>
      </w:r>
    </w:p>
    <w:p>
      <w:r>
        <w:t>Participants: All subsidiary IT leaders</w:t>
      </w:r>
    </w:p>
    <w:p>
      <w:r>
        <w:t>Content: IT strategy presentations and Q&amp;A</w:t>
      </w:r>
    </w:p>
    <w:p>
      <w:r>
        <w:t>Deliverables: Recorded sessions and documentation</w:t>
      </w:r>
    </w:p>
    <w:p>
      <w:pPr>
        <w:pStyle w:val="Heading2"/>
      </w:pPr>
      <w:r>
        <w:rPr>
          <w:b/>
          <w:color w:val="006699"/>
          <w:sz w:val="24"/>
        </w:rPr>
        <w:t>6.2 Monthly Knowledge Sessions</w:t>
      </w:r>
    </w:p>
    <w:p>
      <w:r>
        <w:t>Format: 1-2 hour virtual sessions</w:t>
      </w:r>
    </w:p>
    <w:p>
      <w:r>
        <w:t>Frequency: First week of each month</w:t>
      </w:r>
    </w:p>
    <w:p>
      <w:r>
        <w:t>Topics: Rotating focus on key technology areas</w:t>
      </w:r>
    </w:p>
    <w:p>
      <w:r>
        <w:t>Format: Presentation + discussion + Q&amp;A</w:t>
      </w:r>
    </w:p>
    <w:p>
      <w:r>
        <w:t>Deliverables: Slides, recording, meeting notes</w:t>
      </w:r>
    </w:p>
    <w:p>
      <w:pPr>
        <w:pStyle w:val="Heading2"/>
      </w:pPr>
      <w:r>
        <w:rPr>
          <w:b/>
          <w:color w:val="006699"/>
          <w:sz w:val="24"/>
        </w:rPr>
        <w:t>6.3 Working Group Deep Dives</w:t>
      </w:r>
    </w:p>
    <w:p>
      <w:r>
        <w:t>Format: 2-3 hour focused sessions</w:t>
      </w:r>
    </w:p>
    <w:p>
      <w:r>
        <w:t>Frequency: Ad-hoc, typically monthly per group</w:t>
      </w:r>
    </w:p>
    <w:p>
      <w:r>
        <w:t>Participants: Working group members</w:t>
      </w:r>
    </w:p>
    <w:p>
      <w:r>
        <w:t>Content: Technical deep dives on specific topics</w:t>
      </w:r>
    </w:p>
    <w:p>
      <w:r>
        <w:t>Deliverables: Technical documentation and recommendations</w:t>
      </w:r>
    </w:p>
    <w:p>
      <w:pPr>
        <w:pStyle w:val="Heading1"/>
      </w:pPr>
      <w:r>
        <w:rPr>
          <w:b/>
          <w:color w:val="003366"/>
          <w:sz w:val="28"/>
        </w:rPr>
        <w:t>7. BEST PRACTICE DOCUMENTATION</w:t>
      </w:r>
    </w:p>
    <w:p>
      <w:pPr>
        <w:pStyle w:val="Heading2"/>
      </w:pPr>
      <w:r>
        <w:rPr>
          <w:b/>
          <w:color w:val="006699"/>
          <w:sz w:val="24"/>
        </w:rPr>
        <w:t>7.1 Best Practice Development</w:t>
      </w:r>
    </w:p>
    <w:p>
      <w:pPr>
        <w:pStyle w:val="ListBullet"/>
      </w:pPr>
      <w:r>
        <w:t>1. Identify proven approach from subsidiary experience</w:t>
      </w:r>
    </w:p>
    <w:p>
      <w:pPr>
        <w:pStyle w:val="ListBullet"/>
      </w:pPr>
      <w:r>
        <w:t>2. Document detailed procedures and steps</w:t>
      </w:r>
    </w:p>
    <w:p>
      <w:pPr>
        <w:pStyle w:val="ListBullet"/>
      </w:pPr>
      <w:r>
        <w:t>3. Validate with other subsidiaries</w:t>
      </w:r>
    </w:p>
    <w:p>
      <w:pPr>
        <w:pStyle w:val="ListBullet"/>
      </w:pPr>
      <w:r>
        <w:t>4. Obtain approval from Forum steering</w:t>
      </w:r>
    </w:p>
    <w:p>
      <w:pPr>
        <w:pStyle w:val="ListBullet"/>
      </w:pPr>
      <w:r>
        <w:t>5. Publish to knowledge repository</w:t>
      </w:r>
    </w:p>
    <w:p>
      <w:pPr>
        <w:pStyle w:val="ListBullet"/>
      </w:pPr>
      <w:r>
        <w:t>6. Implement across Group (with local adaptation)</w:t>
      </w:r>
    </w:p>
    <w:p>
      <w:pPr>
        <w:pStyle w:val="ListBullet"/>
      </w:pPr>
      <w:r>
        <w:t>7. Monitor adoption and effectiveness</w:t>
      </w:r>
    </w:p>
    <w:p>
      <w:pPr>
        <w:pStyle w:val="Heading2"/>
      </w:pPr>
      <w:r>
        <w:rPr>
          <w:b/>
          <w:color w:val="006699"/>
          <w:sz w:val="24"/>
        </w:rPr>
        <w:t>7.2 Focus Areas for Best Practices</w:t>
      </w:r>
    </w:p>
    <w:p>
      <w:pPr>
        <w:pStyle w:val="ListBullet"/>
      </w:pPr>
      <w:r>
        <w:t>Security and risk management</w:t>
      </w:r>
    </w:p>
    <w:p>
      <w:pPr>
        <w:pStyle w:val="ListBullet"/>
      </w:pPr>
      <w:r>
        <w:t>Cloud adoption and optimization</w:t>
      </w:r>
    </w:p>
    <w:p>
      <w:pPr>
        <w:pStyle w:val="ListBullet"/>
      </w:pPr>
      <w:r>
        <w:t>Data management and governance</w:t>
      </w:r>
    </w:p>
    <w:p>
      <w:pPr>
        <w:pStyle w:val="ListBullet"/>
      </w:pPr>
      <w:r>
        <w:t>Digital transformation initiatives</w:t>
      </w:r>
    </w:p>
    <w:p>
      <w:pPr>
        <w:pStyle w:val="ListBullet"/>
      </w:pPr>
      <w:r>
        <w:t>Cost optimization and efficiency</w:t>
      </w:r>
    </w:p>
    <w:p>
      <w:pPr>
        <w:pStyle w:val="ListBullet"/>
      </w:pPr>
      <w:r>
        <w:t>Vendor management</w:t>
      </w:r>
    </w:p>
    <w:p>
      <w:pPr>
        <w:pStyle w:val="ListBullet"/>
      </w:pPr>
      <w:r>
        <w:t>Service delivery and support</w:t>
      </w:r>
    </w:p>
    <w:p>
      <w:pPr>
        <w:pStyle w:val="Heading1"/>
      </w:pPr>
      <w:r>
        <w:rPr>
          <w:b/>
          <w:color w:val="003366"/>
          <w:sz w:val="28"/>
        </w:rPr>
        <w:t>8. COLLABORATION TOOLS &amp; PLATFORMS</w:t>
      </w:r>
    </w:p>
    <w:p>
      <w:pPr>
        <w:pStyle w:val="Heading2"/>
      </w:pPr>
      <w:r>
        <w:rPr>
          <w:b/>
          <w:color w:val="006699"/>
          <w:sz w:val="24"/>
        </w:rPr>
        <w:t>8.1 Technology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 Category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Document storage and version control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Real-time collaboration and discussion</w:t>
            </w:r>
          </w:p>
        </w:tc>
      </w:tr>
      <w:tr>
        <w:tc>
          <w:tcPr>
            <w:tcW w:type="dxa" w:w="4320"/>
          </w:tcPr>
          <w:p>
            <w:r>
              <w:t>Video</w:t>
            </w:r>
          </w:p>
        </w:tc>
        <w:tc>
          <w:tcPr>
            <w:tcW w:type="dxa" w:w="4320"/>
          </w:tcPr>
          <w:p>
            <w:r>
              <w:t>Recording and streaming of sessions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Meeting facilitation and notifications</w:t>
            </w:r>
          </w:p>
        </w:tc>
      </w:tr>
    </w:tbl>
    <w:p>
      <w:pPr>
        <w:pStyle w:val="Heading1"/>
      </w:pPr>
      <w:r>
        <w:rPr>
          <w:b/>
          <w:color w:val="003366"/>
          <w:sz w:val="28"/>
        </w:rPr>
        <w:t>9. MEASUREMENT &amp; EFFECTIVENESS</w:t>
      </w:r>
    </w:p>
    <w:p>
      <w:pPr>
        <w:pStyle w:val="Heading2"/>
      </w:pPr>
      <w:r>
        <w:rPr>
          <w:b/>
          <w:color w:val="006699"/>
          <w:sz w:val="24"/>
        </w:rPr>
        <w:t>9.1 Knowledge Sharing Metrics</w:t>
      </w:r>
    </w:p>
    <w:p>
      <w:pPr>
        <w:pStyle w:val="ListBullet"/>
      </w:pPr>
      <w:r>
        <w:rPr>
          <w:b/>
        </w:rPr>
        <w:t xml:space="preserve">Session attendance: </w:t>
      </w:r>
      <w:r>
        <w:t>Target: ≥80% attendance</w:t>
      </w:r>
    </w:p>
    <w:p>
      <w:pPr>
        <w:pStyle w:val="ListBullet"/>
      </w:pPr>
      <w:r>
        <w:rPr>
          <w:b/>
        </w:rPr>
        <w:t xml:space="preserve">Knowledge contributions: </w:t>
      </w:r>
      <w:r>
        <w:t>Target: ≥5 documents/quarter per subsidiary</w:t>
      </w:r>
    </w:p>
    <w:p>
      <w:pPr>
        <w:pStyle w:val="ListBullet"/>
      </w:pPr>
      <w:r>
        <w:rPr>
          <w:b/>
        </w:rPr>
        <w:t xml:space="preserve">Knowledge reuse: </w:t>
      </w:r>
      <w:r>
        <w:t>Track adoption of shared best practices</w:t>
      </w:r>
    </w:p>
    <w:p>
      <w:pPr>
        <w:pStyle w:val="ListBullet"/>
      </w:pPr>
      <w:r>
        <w:rPr>
          <w:b/>
        </w:rPr>
        <w:t xml:space="preserve">Impact: </w:t>
      </w:r>
      <w:r>
        <w:t>Measure ROI/benefits from shared knowledge</w:t>
      </w:r>
    </w:p>
    <w:p>
      <w:pPr>
        <w:pStyle w:val="ListBullet"/>
      </w:pPr>
      <w:r>
        <w:rPr>
          <w:b/>
        </w:rPr>
        <w:t xml:space="preserve">Satisfaction: </w:t>
      </w:r>
      <w:r>
        <w:t>Quarterly surveys on relevance and usefulness</w:t>
      </w:r>
    </w:p>
    <w:p>
      <w:pPr>
        <w:pStyle w:val="Heading2"/>
      </w:pPr>
      <w:r>
        <w:rPr>
          <w:b/>
          <w:color w:val="006699"/>
          <w:sz w:val="24"/>
        </w:rPr>
        <w:t>9.2 Quarterly Review</w:t>
      </w:r>
    </w:p>
    <w:p>
      <w:pPr>
        <w:pStyle w:val="ListBullet"/>
      </w:pPr>
      <w:r>
        <w:t>Knowledge contributions and quality</w:t>
      </w:r>
    </w:p>
    <w:p>
      <w:pPr>
        <w:pStyle w:val="ListBullet"/>
      </w:pPr>
      <w:r>
        <w:t>Session attendance and engagement</w:t>
      </w:r>
    </w:p>
    <w:p>
      <w:pPr>
        <w:pStyle w:val="ListBullet"/>
      </w:pPr>
      <w:r>
        <w:t>Document downloads and usage</w:t>
      </w:r>
    </w:p>
    <w:p>
      <w:pPr>
        <w:pStyle w:val="ListBullet"/>
      </w:pPr>
      <w:r>
        <w:t>Feedback from participants</w:t>
      </w:r>
    </w:p>
    <w:p>
      <w:pPr>
        <w:pStyle w:val="ListBullet"/>
      </w:pPr>
      <w:r>
        <w:t>Areas for improvement</w:t>
      </w:r>
    </w:p>
    <w:p>
      <w:pPr>
        <w:pStyle w:val="Heading1"/>
      </w:pPr>
      <w:r>
        <w:rPr>
          <w:b/>
          <w:color w:val="003366"/>
          <w:sz w:val="28"/>
        </w:rPr>
        <w:t>10. CONFIDENTIALITY &amp; IP PROTECTION</w:t>
      </w:r>
    </w:p>
    <w:p>
      <w:pPr>
        <w:pStyle w:val="Heading2"/>
      </w:pPr>
      <w:r>
        <w:rPr>
          <w:b/>
          <w:color w:val="006699"/>
          <w:sz w:val="24"/>
        </w:rPr>
        <w:t>10.1 Sensitive Information Protection</w:t>
      </w:r>
    </w:p>
    <w:p>
      <w:r>
        <w:t>Business strategies and roadmaps: Company-specific, not shared externally</w:t>
      </w:r>
    </w:p>
    <w:p>
      <w:r>
        <w:t>Security incidents: Anonymize and aggregate findings</w:t>
      </w:r>
    </w:p>
    <w:p>
      <w:r>
        <w:t>Financial data: Redact or anonymize</w:t>
      </w:r>
    </w:p>
    <w:p>
      <w:r>
        <w:t>Customer information: Never share customer-specific data</w:t>
      </w:r>
    </w:p>
    <w:p>
      <w:r>
        <w:t>Proprietary tools: Document value without revealing internals</w:t>
      </w:r>
    </w:p>
    <w:p>
      <w:pPr>
        <w:pStyle w:val="Heading2"/>
      </w:pPr>
      <w:r>
        <w:rPr>
          <w:b/>
          <w:color w:val="006699"/>
          <w:sz w:val="24"/>
        </w:rPr>
        <w:t>10.2 Intellectual Property</w:t>
      </w:r>
    </w:p>
    <w:p>
      <w:r>
        <w:t>IP rights remain with subsidiary that develops it. Subsidiaries grant EDI Group a royalty-free license to use shared knowledge and best practices.</w:t>
      </w:r>
    </w:p>
    <w:p>
      <w:pPr>
        <w:pStyle w:val="Heading1"/>
      </w:pPr>
      <w:r>
        <w:rPr>
          <w:b/>
          <w:color w:val="003366"/>
          <w:sz w:val="28"/>
        </w:rPr>
        <w:t>11. ESCALATION &amp; SUPPORT</w:t>
      </w:r>
    </w:p>
    <w:p>
      <w:r>
        <w:t>Knowledge owner: Primary contact for questions</w:t>
      </w:r>
    </w:p>
    <w:p>
      <w:r>
        <w:t>Forum facilitator: Escalation for complex questions</w:t>
      </w:r>
    </w:p>
    <w:p>
      <w:r>
        <w:t>Working group lead: Support on topic-specific inquiries</w:t>
      </w:r>
    </w:p>
    <w:p>
      <w:r>
        <w:t>Response target: 5 business days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Knowledge Sharing Guidelines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08080"/>
        <w:sz w:val="20"/>
      </w:rPr>
      <w:t>EDI Group Technology Forum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