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Risk Management &amp; Business Continuity Framework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Document Version: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09, 2026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Organization: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EDI Group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Use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Active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RISK MANAGEMENT FRAMEWORK</w:t>
      </w:r>
    </w:p>
    <w:p>
      <w:r>
        <w:t>This framework aligns with ISO 27001:2022, NIST CSF 2.0, and COBIT 2019 to manage technology risks across EDI Group.</w:t>
      </w:r>
    </w:p>
    <w:p>
      <w:pPr>
        <w:pStyle w:val="Heading2"/>
      </w:pPr>
      <w:r>
        <w:rPr>
          <w:b/>
          <w:color w:val="006699"/>
          <w:sz w:val="24"/>
        </w:rPr>
        <w:t>1.1 Risk Management Process</w:t>
      </w:r>
    </w:p>
    <w:p>
      <w:pPr>
        <w:pStyle w:val="ListBullet"/>
      </w:pPr>
      <w:r>
        <w:rPr>
          <w:b/>
        </w:rPr>
        <w:t xml:space="preserve">Risk Identification: </w:t>
      </w:r>
      <w:r>
        <w:t>Identify potential threats and vulnerabilities</w:t>
      </w:r>
    </w:p>
    <w:p>
      <w:pPr>
        <w:pStyle w:val="ListBullet"/>
      </w:pPr>
      <w:r>
        <w:rPr>
          <w:b/>
        </w:rPr>
        <w:t xml:space="preserve">Risk Assessment: </w:t>
      </w:r>
      <w:r>
        <w:t>Evaluate probability and impact</w:t>
      </w:r>
    </w:p>
    <w:p>
      <w:pPr>
        <w:pStyle w:val="ListBullet"/>
      </w:pPr>
      <w:r>
        <w:rPr>
          <w:b/>
        </w:rPr>
        <w:t xml:space="preserve">Risk Treatment: </w:t>
      </w:r>
      <w:r>
        <w:t>Implement controls or mitigation</w:t>
      </w:r>
    </w:p>
    <w:p>
      <w:pPr>
        <w:pStyle w:val="ListBullet"/>
      </w:pPr>
      <w:r>
        <w:rPr>
          <w:b/>
        </w:rPr>
        <w:t xml:space="preserve">Risk Monitoring: </w:t>
      </w:r>
      <w:r>
        <w:t>Track and review risks continuously</w:t>
      </w:r>
    </w:p>
    <w:p>
      <w:pPr>
        <w:pStyle w:val="Heading1"/>
      </w:pPr>
      <w:r>
        <w:rPr>
          <w:b/>
          <w:color w:val="003366"/>
          <w:sz w:val="28"/>
        </w:rPr>
        <w:t>2. RISK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Data breaches, unauthorized access, malware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</w:tr>
      <w:tr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System failures, process failures, human error</w:t>
            </w:r>
          </w:p>
        </w:tc>
        <w:tc>
          <w:tcPr>
            <w:tcW w:type="dxa" w:w="2880"/>
          </w:tcPr>
          <w:p>
            <w:r>
              <w:t>CIO</w:t>
            </w:r>
          </w:p>
        </w:tc>
      </w:tr>
      <w:tr>
        <w:tc>
          <w:tcPr>
            <w:tcW w:type="dxa" w:w="2880"/>
          </w:tcPr>
          <w:p>
            <w:r>
              <w:t>Strategic</w:t>
            </w:r>
          </w:p>
        </w:tc>
        <w:tc>
          <w:tcPr>
            <w:tcW w:type="dxa" w:w="2880"/>
          </w:tcPr>
          <w:p>
            <w:r>
              <w:t>Technology obsolescence, innovation gaps</w:t>
            </w:r>
          </w:p>
        </w:tc>
        <w:tc>
          <w:tcPr>
            <w:tcW w:type="dxa" w:w="2880"/>
          </w:tcPr>
          <w:p>
            <w:r>
              <w:t>CTO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violations, audit failures</w:t>
            </w:r>
          </w:p>
        </w:tc>
        <w:tc>
          <w:tcPr>
            <w:tcW w:type="dxa" w:w="2880"/>
          </w:tcPr>
          <w:p>
            <w:r>
              <w:t>Compliance Officer</w:t>
            </w:r>
          </w:p>
        </w:tc>
      </w:tr>
      <w:tr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Third-party failures, data breaches</w:t>
            </w:r>
          </w:p>
        </w:tc>
        <w:tc>
          <w:tcPr>
            <w:tcW w:type="dxa" w:w="2880"/>
          </w:tcPr>
          <w:p>
            <w:r>
              <w:t>Vendor Manager</w:t>
            </w:r>
          </w:p>
        </w:tc>
      </w:tr>
      <w:tr>
        <w:tc>
          <w:tcPr>
            <w:tcW w:type="dxa" w:w="2880"/>
          </w:tcPr>
          <w:p>
            <w:r>
              <w:t>Disaster</w:t>
            </w:r>
          </w:p>
        </w:tc>
        <w:tc>
          <w:tcPr>
            <w:tcW w:type="dxa" w:w="2880"/>
          </w:tcPr>
          <w:p>
            <w:r>
              <w:t>Natural disasters, major incidents</w:t>
            </w:r>
          </w:p>
        </w:tc>
        <w:tc>
          <w:tcPr>
            <w:tcW w:type="dxa" w:w="2880"/>
          </w:tcPr>
          <w:p>
            <w:r>
              <w:t>Business Continuity Lead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Budget overruns, unexpected costs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3. RISK ASSESSMENT METHODOLOGY</w:t>
      </w:r>
    </w:p>
    <w:p>
      <w:pPr>
        <w:pStyle w:val="Heading2"/>
      </w:pPr>
      <w:r>
        <w:rPr>
          <w:b/>
          <w:color w:val="006699"/>
          <w:sz w:val="24"/>
        </w:rPr>
        <w:t>3.1 Risk Matrix</w:t>
      </w:r>
    </w:p>
    <w:p>
      <w:r>
        <w:t>Risk = Probability × Impact</w:t>
        <w:br/>
        <w:t>Scores: 1=Low, 2=Medium, 3=High, 4=Very High</w:t>
        <w:br/>
        <w:t>Risk Score: 1-4=Low, 5-8=Medium, 9-12=High, 13-16=Critical</w:t>
      </w:r>
    </w:p>
    <w:p>
      <w:pPr>
        <w:pStyle w:val="Heading2"/>
      </w:pPr>
      <w:r>
        <w:rPr>
          <w:b/>
          <w:color w:val="006699"/>
          <w:sz w:val="24"/>
        </w:rPr>
        <w:t>3.2 Risk Treatment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Avoid</w:t>
            </w:r>
          </w:p>
        </w:tc>
        <w:tc>
          <w:tcPr>
            <w:tcW w:type="dxa" w:w="4320"/>
          </w:tcPr>
          <w:p>
            <w:r>
              <w:t>Eliminate the risk by not conducting the activity</w:t>
            </w:r>
          </w:p>
        </w:tc>
      </w:tr>
      <w:tr>
        <w:tc>
          <w:tcPr>
            <w:tcW w:type="dxa" w:w="4320"/>
          </w:tcPr>
          <w:p>
            <w:r>
              <w:t>Mitigate</w:t>
            </w:r>
          </w:p>
        </w:tc>
        <w:tc>
          <w:tcPr>
            <w:tcW w:type="dxa" w:w="4320"/>
          </w:tcPr>
          <w:p>
            <w:r>
              <w:t>Implement controls to reduce probability/impact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t>Shift risk to third party (insurance, outsourcing)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Accept risk with monitoring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4. ANNUAL RISK ASSESSMENT PROCESS</w:t>
      </w:r>
    </w:p>
    <w:p>
      <w:pPr>
        <w:pStyle w:val="ListBullet"/>
      </w:pPr>
      <w:r>
        <w:rPr>
          <w:b/>
        </w:rPr>
        <w:t xml:space="preserve">Q1: </w:t>
      </w:r>
      <w:r>
        <w:t>Risk identification and assessment</w:t>
      </w:r>
    </w:p>
    <w:p>
      <w:pPr>
        <w:pStyle w:val="ListBullet"/>
      </w:pPr>
      <w:r>
        <w:rPr>
          <w:b/>
        </w:rPr>
        <w:t xml:space="preserve">Q2: </w:t>
      </w:r>
      <w:r>
        <w:t>Risk treatment planning and approval</w:t>
      </w:r>
    </w:p>
    <w:p>
      <w:pPr>
        <w:pStyle w:val="ListBullet"/>
      </w:pPr>
      <w:r>
        <w:rPr>
          <w:b/>
        </w:rPr>
        <w:t xml:space="preserve">Q3: </w:t>
      </w:r>
      <w:r>
        <w:t>Implementation of controls</w:t>
      </w:r>
    </w:p>
    <w:p>
      <w:pPr>
        <w:pStyle w:val="ListBullet"/>
      </w:pPr>
      <w:r>
        <w:rPr>
          <w:b/>
        </w:rPr>
        <w:t xml:space="preserve">Q4: </w:t>
      </w:r>
      <w:r>
        <w:t>Monitoring and reporting</w:t>
      </w:r>
    </w:p>
    <w:p>
      <w:pPr>
        <w:pStyle w:val="Heading1"/>
      </w:pPr>
      <w:r>
        <w:rPr>
          <w:b/>
          <w:color w:val="003366"/>
          <w:sz w:val="28"/>
        </w:rPr>
        <w:t>5. TECHNOLOGY RISK AREAS</w:t>
      </w:r>
    </w:p>
    <w:p>
      <w:pPr>
        <w:pStyle w:val="Heading2"/>
      </w:pPr>
      <w:r>
        <w:rPr>
          <w:b/>
          <w:color w:val="006699"/>
          <w:sz w:val="24"/>
        </w:rPr>
        <w:t>5.1 Cybersecurity Risks</w:t>
      </w:r>
    </w:p>
    <w:p>
      <w:pPr>
        <w:pStyle w:val="ListBullet"/>
      </w:pPr>
      <w:r>
        <w:t>Data breaches (external attacks, insider threats)</w:t>
      </w:r>
    </w:p>
    <w:p>
      <w:pPr>
        <w:pStyle w:val="ListBullet"/>
      </w:pPr>
      <w:r>
        <w:t>Ransomware and malware attacks</w:t>
      </w:r>
    </w:p>
    <w:p>
      <w:pPr>
        <w:pStyle w:val="ListBullet"/>
      </w:pPr>
      <w:r>
        <w:t>Phishing and social engineering</w:t>
      </w:r>
    </w:p>
    <w:p>
      <w:pPr>
        <w:pStyle w:val="ListBullet"/>
      </w:pPr>
      <w:r>
        <w:t>DDoS attacks</w:t>
      </w:r>
    </w:p>
    <w:p>
      <w:pPr>
        <w:pStyle w:val="ListBullet"/>
      </w:pPr>
      <w:r>
        <w:t>Unauthorized access and privilege escalation</w:t>
      </w:r>
    </w:p>
    <w:p>
      <w:pPr>
        <w:pStyle w:val="ListBullet"/>
      </w:pPr>
      <w:r>
        <w:t>Weak encryption or key management</w:t>
      </w:r>
    </w:p>
    <w:p>
      <w:pPr>
        <w:pStyle w:val="Heading2"/>
      </w:pPr>
      <w:r>
        <w:rPr>
          <w:b/>
          <w:color w:val="006699"/>
          <w:sz w:val="24"/>
        </w:rPr>
        <w:t>5.2 Operational Risks</w:t>
      </w:r>
    </w:p>
    <w:p>
      <w:pPr>
        <w:pStyle w:val="ListBullet"/>
      </w:pPr>
      <w:r>
        <w:t>System outages and unavailability</w:t>
      </w:r>
    </w:p>
    <w:p>
      <w:pPr>
        <w:pStyle w:val="ListBullet"/>
      </w:pPr>
      <w:r>
        <w:t>Data loss or corruption</w:t>
      </w:r>
    </w:p>
    <w:p>
      <w:pPr>
        <w:pStyle w:val="ListBullet"/>
      </w:pPr>
      <w:r>
        <w:t>Failed software deployments</w:t>
      </w:r>
    </w:p>
    <w:p>
      <w:pPr>
        <w:pStyle w:val="ListBullet"/>
      </w:pPr>
      <w:r>
        <w:t>Integration failures</w:t>
      </w:r>
    </w:p>
    <w:p>
      <w:pPr>
        <w:pStyle w:val="ListBullet"/>
      </w:pPr>
      <w:r>
        <w:t>Performance degradation</w:t>
      </w:r>
    </w:p>
    <w:p>
      <w:pPr>
        <w:pStyle w:val="ListBullet"/>
      </w:pPr>
      <w:r>
        <w:t>Inadequate disaster recovery capability</w:t>
      </w:r>
    </w:p>
    <w:p>
      <w:pPr>
        <w:pStyle w:val="Heading2"/>
      </w:pPr>
      <w:r>
        <w:rPr>
          <w:b/>
          <w:color w:val="006699"/>
          <w:sz w:val="24"/>
        </w:rPr>
        <w:t>5.3 Strategic Risks</w:t>
      </w:r>
    </w:p>
    <w:p>
      <w:pPr>
        <w:pStyle w:val="ListBullet"/>
      </w:pPr>
      <w:r>
        <w:t>Technology skill gaps</w:t>
      </w:r>
    </w:p>
    <w:p>
      <w:pPr>
        <w:pStyle w:val="ListBullet"/>
      </w:pPr>
      <w:r>
        <w:t>Legacy system dependencies</w:t>
      </w:r>
    </w:p>
    <w:p>
      <w:pPr>
        <w:pStyle w:val="ListBullet"/>
      </w:pPr>
      <w:r>
        <w:t>Cloud vendor lock-in</w:t>
      </w:r>
    </w:p>
    <w:p>
      <w:pPr>
        <w:pStyle w:val="ListBullet"/>
      </w:pPr>
      <w:r>
        <w:t>Rapid technology change</w:t>
      </w:r>
    </w:p>
    <w:p>
      <w:pPr>
        <w:pStyle w:val="ListBullet"/>
      </w:pPr>
      <w:r>
        <w:t>Innovation gaps vs competitors</w:t>
      </w:r>
    </w:p>
    <w:p>
      <w:pPr>
        <w:pStyle w:val="ListBullet"/>
      </w:pPr>
      <w:r>
        <w:t>Poor IT-business alignment</w:t>
      </w:r>
    </w:p>
    <w:p>
      <w:pPr>
        <w:pStyle w:val="Heading1"/>
      </w:pPr>
      <w:r>
        <w:rPr>
          <w:b/>
          <w:color w:val="003366"/>
          <w:sz w:val="28"/>
        </w:rPr>
        <w:t>6. BUSINESS CONTINUITY MANAGEMENT</w:t>
      </w:r>
    </w:p>
    <w:p>
      <w:pPr>
        <w:pStyle w:val="Heading2"/>
      </w:pPr>
      <w:r>
        <w:rPr>
          <w:b/>
          <w:color w:val="006699"/>
          <w:sz w:val="24"/>
        </w:rPr>
        <w:t>6.1 BCM Planning Requirements</w:t>
      </w:r>
    </w:p>
    <w:p>
      <w:pPr>
        <w:pStyle w:val="ListBullet"/>
      </w:pPr>
      <w:r>
        <w:rPr>
          <w:b/>
        </w:rPr>
        <w:t xml:space="preserve">BCP Documents: </w:t>
      </w:r>
      <w:r>
        <w:t>Documented recovery procedures for each critical system</w:t>
      </w:r>
    </w:p>
    <w:p>
      <w:pPr>
        <w:pStyle w:val="ListBullet"/>
      </w:pPr>
      <w:r>
        <w:rPr>
          <w:b/>
        </w:rPr>
        <w:t xml:space="preserve">Recovery Teams: </w:t>
      </w:r>
      <w:r>
        <w:t>Assigned recovery team leads and members</w:t>
      </w:r>
    </w:p>
    <w:p>
      <w:pPr>
        <w:pStyle w:val="ListBullet"/>
      </w:pPr>
      <w:r>
        <w:rPr>
          <w:b/>
        </w:rPr>
        <w:t xml:space="preserve">Recovery Resources: </w:t>
      </w:r>
      <w:r>
        <w:t>Equipment, facilities, data, personnel</w:t>
      </w:r>
    </w:p>
    <w:p>
      <w:pPr>
        <w:pStyle w:val="ListBullet"/>
      </w:pPr>
      <w:r>
        <w:rPr>
          <w:b/>
        </w:rPr>
        <w:t xml:space="preserve">Communication Plan: </w:t>
      </w:r>
      <w:r>
        <w:t>Internal and external notification procedures</w:t>
      </w:r>
    </w:p>
    <w:p>
      <w:pPr>
        <w:pStyle w:val="ListBullet"/>
      </w:pPr>
      <w:r>
        <w:rPr>
          <w:b/>
        </w:rPr>
        <w:t xml:space="preserve">Testing Schedule: </w:t>
      </w:r>
      <w:r>
        <w:t>Quarterly partial tests, annual full test</w:t>
      </w:r>
    </w:p>
    <w:p>
      <w:pPr>
        <w:pStyle w:val="Heading2"/>
      </w:pPr>
      <w:r>
        <w:rPr>
          <w:b/>
          <w:color w:val="006699"/>
          <w:sz w:val="24"/>
        </w:rPr>
        <w:t>6.2 Recovery Time Objectives (RTO)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Tier</w:t>
            </w:r>
          </w:p>
        </w:tc>
        <w:tc>
          <w:tcPr>
            <w:tcW w:type="dxa" w:w="4320"/>
          </w:tcPr>
          <w:p>
            <w:r>
              <w:t>RTO Target</w:t>
            </w:r>
          </w:p>
        </w:tc>
      </w:tr>
      <w:tr>
        <w:tc>
          <w:tcPr>
            <w:tcW w:type="dxa" w:w="4320"/>
          </w:tcPr>
          <w:p>
            <w:r>
              <w:t>Tier 1 (Critical)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Tier 2 (Important)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  <w:tr>
        <w:tc>
          <w:tcPr>
            <w:tcW w:type="dxa" w:w="4320"/>
          </w:tcPr>
          <w:p>
            <w:r>
              <w:t>Tier 3 (Standard)</w:t>
            </w:r>
          </w:p>
        </w:tc>
        <w:tc>
          <w:tcPr>
            <w:tcW w:type="dxa" w:w="4320"/>
          </w:tcPr>
          <w:p>
            <w:r>
              <w:t>72 hours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rPr>
          <w:b/>
          <w:color w:val="006699"/>
          <w:sz w:val="24"/>
        </w:rPr>
        <w:t>6.3 Disaster Recovery Testing</w:t>
      </w:r>
    </w:p>
    <w:p>
      <w:pPr>
        <w:pStyle w:val="ListBullet"/>
      </w:pPr>
      <w:r>
        <w:t>Table-top exercises quarterly</w:t>
      </w:r>
    </w:p>
    <w:p>
      <w:pPr>
        <w:pStyle w:val="ListBullet"/>
      </w:pPr>
      <w:r>
        <w:t>Partial recovery test biannually</w:t>
      </w:r>
    </w:p>
    <w:p>
      <w:pPr>
        <w:pStyle w:val="ListBullet"/>
      </w:pPr>
      <w:r>
        <w:t>Full recovery test annually</w:t>
      </w:r>
    </w:p>
    <w:p>
      <w:pPr>
        <w:pStyle w:val="ListBullet"/>
      </w:pPr>
      <w:r>
        <w:t>Alternate site testing annually</w:t>
      </w:r>
    </w:p>
    <w:p>
      <w:pPr>
        <w:pStyle w:val="ListBullet"/>
      </w:pPr>
      <w:r>
        <w:t>Documented test results and lessons learned</w:t>
      </w:r>
    </w:p>
    <w:p>
      <w:pPr>
        <w:pStyle w:val="Heading1"/>
      </w:pPr>
      <w:r>
        <w:rPr>
          <w:b/>
          <w:color w:val="003366"/>
          <w:sz w:val="28"/>
        </w:rPr>
        <w:t>7. RISK MONITORING &amp; REPORTING</w:t>
      </w:r>
    </w:p>
    <w:p>
      <w:pPr>
        <w:pStyle w:val="Heading2"/>
      </w:pPr>
      <w:r>
        <w:rPr>
          <w:b/>
          <w:color w:val="006699"/>
          <w:sz w:val="24"/>
        </w:rPr>
        <w:t>7.1 Risk Reporting Cadence</w:t>
      </w:r>
    </w:p>
    <w:p>
      <w:pPr>
        <w:pStyle w:val="ListBullet"/>
      </w:pPr>
      <w:r>
        <w:t>Monthly: Risk register updates and trend analysis</w:t>
      </w:r>
    </w:p>
    <w:p>
      <w:pPr>
        <w:pStyle w:val="ListBullet"/>
      </w:pPr>
      <w:r>
        <w:t>Quarterly: Risk committee review and reporting</w:t>
      </w:r>
    </w:p>
    <w:p>
      <w:pPr>
        <w:pStyle w:val="ListBullet"/>
      </w:pPr>
      <w:r>
        <w:t>Annually: Comprehensive risk assessment and strategy review</w:t>
      </w:r>
    </w:p>
    <w:p>
      <w:pPr>
        <w:pStyle w:val="Heading2"/>
      </w:pPr>
      <w:r>
        <w:rPr>
          <w:b/>
          <w:color w:val="006699"/>
          <w:sz w:val="24"/>
        </w:rPr>
        <w:t>7.2 Key Risk Indicators (KRIs)</w:t>
      </w:r>
    </w:p>
    <w:p>
      <w:pPr>
        <w:pStyle w:val="ListBullet"/>
      </w:pPr>
      <w:r>
        <w:t>Number of open vulnerabilities (critical, high, medium)</w:t>
      </w:r>
    </w:p>
    <w:p>
      <w:pPr>
        <w:pStyle w:val="ListBullet"/>
      </w:pPr>
      <w:r>
        <w:t>Patch compliance rates</w:t>
      </w:r>
    </w:p>
    <w:p>
      <w:pPr>
        <w:pStyle w:val="ListBullet"/>
      </w:pPr>
      <w:r>
        <w:t>Security incident frequency and severity</w:t>
      </w:r>
    </w:p>
    <w:p>
      <w:pPr>
        <w:pStyle w:val="ListBullet"/>
      </w:pPr>
      <w:r>
        <w:t>System availability/uptime percentage</w:t>
      </w:r>
    </w:p>
    <w:p>
      <w:pPr>
        <w:pStyle w:val="ListBullet"/>
      </w:pPr>
      <w:r>
        <w:t>Failed change deployments</w:t>
      </w:r>
    </w:p>
    <w:p>
      <w:pPr>
        <w:pStyle w:val="ListBullet"/>
      </w:pPr>
      <w:r>
        <w:t>Access review completion rate</w:t>
      </w:r>
    </w:p>
    <w:p>
      <w:pPr>
        <w:pStyle w:val="ListBullet"/>
      </w:pPr>
      <w:r>
        <w:t>Training completion rates</w:t>
      </w:r>
    </w:p>
    <w:p>
      <w:pPr>
        <w:pStyle w:val="Heading1"/>
      </w:pPr>
      <w:r>
        <w:rPr>
          <w:b/>
          <w:color w:val="003366"/>
          <w:sz w:val="28"/>
        </w:rPr>
        <w:t>8. RISK GOVERNANCE</w:t>
      </w:r>
    </w:p>
    <w:p>
      <w:pPr>
        <w:pStyle w:val="Heading2"/>
      </w:pPr>
      <w:r>
        <w:rPr>
          <w:b/>
          <w:color w:val="006699"/>
          <w:sz w:val="24"/>
        </w:rPr>
        <w:t>8.1 Risk Management Committee</w:t>
      </w:r>
    </w:p>
    <w:p>
      <w:r>
        <w:t>Chaired by: Chief Risk Officer or equivalent</w:t>
      </w:r>
    </w:p>
    <w:p>
      <w:r>
        <w:t>Includes: IT leadership, Security, Compliance, Business leads</w:t>
      </w:r>
    </w:p>
    <w:p>
      <w:r>
        <w:t>Frequency: Quarterly meetings</w:t>
      </w:r>
    </w:p>
    <w:p>
      <w:r>
        <w:t>Responsibility: Risk oversight, treatment approval, escalation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Risk Management &amp; Business Continuity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