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60" w:before="0"/>
        <w:jc w:val="center"/>
      </w:pPr>
      <w:r>
        <w:rPr>
          <w:rFonts w:ascii="Arial" w:cs="Arial" w:eastAsia="Arial" w:hAnsi="Arial"/>
          <w:b/>
          <w:bCs/>
          <w:color w:val="1B3A6B"/>
          <w:sz w:val="40"/>
          <w:szCs w:val="40"/>
        </w:rPr>
        <w:t xml:space="preserve">PT EQUITY LIFE INDONESIA</w:t>
      </w:r>
    </w:p>
    <w:p>
      <w:pPr>
        <w:pBdr>
          <w:bottom w:val="single" w:color="D9D9D9" w:sz="4"/>
        </w:pBdr>
        <w:spacing w:after="480" w:before="0"/>
        <w:jc w:val="center"/>
      </w:pPr>
      <w:r>
        <w:rPr>
          <w:rFonts w:ascii="Arial" w:cs="Arial" w:eastAsia="Arial" w:hAnsi="Arial"/>
          <w:color w:val="595959"/>
          <w:sz w:val="22"/>
          <w:szCs w:val="22"/>
        </w:rPr>
        <w:t xml:space="preserve">Technology &amp; Information Directorate  —  IT Security &amp; Governance</w:t>
      </w:r>
    </w:p>
    <w:p>
      <w:pPr>
        <w:spacing w:after="0" w:before="120"/>
      </w:pPr>
      <w:r>
        <w:t xml:space="preserve"/>
      </w:r>
    </w:p>
    <w:p>
      <w:pPr>
        <w:shd w:fill="1B3A6B" w:val="clear"/>
        <w:spacing w:after="0" w:before="0"/>
        <w:jc w:val="center"/>
      </w:pPr>
      <w:r>
        <w:rPr>
          <w:rFonts w:ascii="Arial" w:cs="Arial" w:eastAsia="Arial" w:hAnsi="Arial"/>
          <w:b/>
          <w:bCs/>
          <w:color w:val="FFFFFF"/>
          <w:sz w:val="48"/>
          <w:szCs w:val="48"/>
        </w:rPr>
        <w:t xml:space="preserve">  AI GOVERNANCE FRAMEWORK  </w:t>
      </w:r>
    </w:p>
    <w:p>
      <w:pPr>
        <w:shd w:fill="2E75B6" w:val="clear"/>
        <w:spacing w:after="480" w:before="0"/>
        <w:jc w:val="center"/>
      </w:pPr>
      <w:r>
        <w:rPr>
          <w:rFonts w:ascii="Arial" w:cs="Arial" w:eastAsia="Arial" w:hAnsi="Arial"/>
          <w:b/>
          <w:bCs/>
          <w:color w:val="FFFFFF"/>
          <w:sz w:val="28"/>
          <w:szCs w:val="28"/>
        </w:rPr>
        <w:t xml:space="preserve">  Tata Kelola Kecerdasan Buatan (Artificial Intelligence)  </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6272"/>
      </w:tblGrid>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Nomor Dokumen</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ITSG-GOV-AI-2026-001</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Versi</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1.0</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Tanggal Berlaku</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1 April 2026</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Pemilik Kebijakan</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IT Security &amp; Governance — IT Operation</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Ditinjau Oleh</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Risk Management &amp; Compliance Directorate</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Disetujui Oleh</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Komite Pengelola Teknologi Informasi</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Jadwal Review</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Setiap 1 tahun atau jika ada perubahan regulasi material</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Klasifikasi</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bCs/>
                <w:i w:val="false"/>
                <w:iCs w:val="false"/>
                <w:color w:val="C00000"/>
                <w:sz w:val="20"/>
                <w:szCs w:val="20"/>
              </w:rPr>
              <w:t xml:space="preserve">INTERNAL — Terbatas untuk karyawan PT Equity Life Indonesia</w:t>
            </w:r>
          </w:p>
        </w:tc>
      </w:tr>
    </w:tbl>
    <w:p>
      <w:pPr>
        <w:spacing w:after="0" w:before="240"/>
      </w:pPr>
      <w:r>
        <w:t xml:space="preserve"/>
      </w:r>
    </w:p>
    <w:p>
      <w:pPr>
        <w:spacing w:after="0" w:before="0"/>
        <w:jc w:val="center"/>
      </w:pPr>
      <w:r>
        <w:rPr>
          <w:rFonts w:ascii="Arial" w:cs="Arial" w:eastAsia="Arial" w:hAnsi="Arial"/>
          <w:i/>
          <w:iCs/>
          <w:color w:val="595959"/>
          <w:sz w:val="19"/>
          <w:szCs w:val="19"/>
        </w:rPr>
        <w:t xml:space="preserve">Dokumen ini merupakan bagian dari kebijakan tata kelola teknologi informasi</w:t>
      </w:r>
    </w:p>
    <w:p>
      <w:pPr>
        <w:spacing w:after="0" w:before="0"/>
        <w:jc w:val="center"/>
      </w:pPr>
      <w:r>
        <w:rPr>
          <w:rFonts w:ascii="Arial" w:cs="Arial" w:eastAsia="Arial" w:hAnsi="Arial"/>
          <w:i/>
          <w:iCs/>
          <w:color w:val="595959"/>
          <w:sz w:val="19"/>
          <w:szCs w:val="19"/>
        </w:rPr>
        <w:t xml:space="preserve">PT Equity Life Indonesia dan bersifat mengikat bagi seluruh karyawan.</w:t>
      </w:r>
    </w:p>
    <w:p>
      <w:r>
        <w:br w:type="page"/>
      </w:r>
    </w:p>
    <w:p>
      <w:pPr>
        <w:pStyle w:val="Heading1"/>
        <w:pBdr>
          <w:bottom w:val="single" w:color="2E75B6" w:sz="8" w:space="4"/>
        </w:pBdr>
        <w:spacing w:after="160" w:before="360"/>
      </w:pPr>
      <w:r>
        <w:rPr>
          <w:rFonts w:ascii="Arial" w:cs="Arial" w:eastAsia="Arial" w:hAnsi="Arial"/>
          <w:b/>
          <w:bCs/>
          <w:color w:val="1B3A6B"/>
          <w:sz w:val="32"/>
          <w:szCs w:val="32"/>
        </w:rPr>
        <w:t xml:space="preserve">Daftar Isi</w:t>
      </w:r>
    </w:p>
    <w:sdt>
      <w:sdtPr>
        <w:alias w:val="Daftar Isi"/>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2E75B6" w:sz="8" w:space="4"/>
        </w:pBdr>
        <w:spacing w:after="160" w:before="360"/>
      </w:pPr>
      <w:r>
        <w:rPr>
          <w:rFonts w:ascii="Arial" w:cs="Arial" w:eastAsia="Arial" w:hAnsi="Arial"/>
          <w:b/>
          <w:bCs/>
          <w:color w:val="1B3A6B"/>
          <w:sz w:val="32"/>
          <w:szCs w:val="32"/>
        </w:rPr>
        <w:t xml:space="preserve">Riwayat Perubahan Dokumen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500"/>
        <w:gridCol w:w="2000"/>
        <w:gridCol w:w="2372"/>
      </w:tblGrid>
      <w:tr>
        <w:tc>
          <w:tcPr>
            <w:tcW w:type="dxa" w:w="10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Versi</w:t>
            </w:r>
          </w:p>
        </w:tc>
        <w:tc>
          <w:tcPr>
            <w:tcW w:type="dxa" w:w="12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Tanggal</w:t>
            </w:r>
          </w:p>
        </w:tc>
        <w:tc>
          <w:tcPr>
            <w:tcW w:type="dxa" w:w="25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Perubahan</w:t>
            </w:r>
          </w:p>
        </w:tc>
        <w:tc>
          <w:tcPr>
            <w:tcW w:type="dxa" w:w="20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Disusun oleh</w:t>
            </w:r>
          </w:p>
        </w:tc>
        <w:tc>
          <w:tcPr>
            <w:tcW w:type="dxa" w:w="2372"/>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Disetujui oleh</w:t>
            </w:r>
          </w:p>
        </w:tc>
      </w:tr>
      <w:tr>
        <w:tc>
          <w:tcPr>
            <w:tcW w:type="dxa" w:w="1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1.0</w:t>
            </w:r>
          </w:p>
        </w:tc>
        <w:tc>
          <w:tcPr>
            <w:tcW w:type="dxa" w:w="1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27 Mar 2026</w:t>
            </w:r>
          </w:p>
        </w:tc>
        <w:tc>
          <w:tcPr>
            <w:tcW w:type="dxa" w:w="2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Rilis pertama — AI Governance Framework</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IT Security &amp; Governance</w:t>
            </w:r>
          </w:p>
        </w:tc>
        <w:tc>
          <w:tcPr>
            <w:tcW w:type="dxa" w:w="23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Komite TI</w:t>
            </w:r>
          </w:p>
        </w:tc>
      </w:tr>
    </w:tbl>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B3A6B"/>
          <w:sz w:val="32"/>
          <w:szCs w:val="32"/>
        </w:rPr>
        <w:t xml:space="preserve">BAB I — PENDAHULUAN</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1.1 Latar Belakang</w:t>
      </w:r>
    </w:p>
    <w:p>
      <w:pPr>
        <w:spacing w:after="80" w:before="80" w:line="280"/>
        <w:jc w:val="both"/>
      </w:pPr>
      <w:r>
        <w:rPr>
          <w:rFonts w:ascii="Arial" w:cs="Arial" w:eastAsia="Arial" w:hAnsi="Arial"/>
          <w:color w:val="1A1A1A"/>
          <w:sz w:val="22"/>
          <w:szCs w:val="22"/>
        </w:rPr>
        <w:t xml:space="preserve">PT Equity Life Indonesia (selanjutnya disebut "Perusahaan") menyadari bahwa perkembangan teknologi kecerdasan buatan (Artificial Intelligence/AI) memberikan peluang strategis sekaligus menimbulkan risiko baru yang perlu dikelola secara terstruktur. Sebagai perusahaan asuransi jiwa yang beroperasi di bawah pengawasan Otoritas Jasa Keuangan (OJK), Perusahaan memiliki kewajiban untuk memastikan bahwa setiap penggunaan teknologi — termasuk AI — memenuhi standar tata kelola, keamanan informasi, dan kepatuhan regulasi yang berlaku.</w:t>
      </w:r>
    </w:p>
    <w:p>
      <w:pPr>
        <w:spacing w:after="80" w:before="40" w:line="280"/>
        <w:jc w:val="both"/>
      </w:pPr>
      <w:r>
        <w:rPr>
          <w:rFonts w:ascii="Arial" w:cs="Arial" w:eastAsia="Arial" w:hAnsi="Arial"/>
          <w:color w:val="1A1A1A"/>
          <w:sz w:val="22"/>
          <w:szCs w:val="22"/>
        </w:rPr>
        <w:t xml:space="preserve">Framework ini disusun sebagai respons terhadap meningkatnya penggunaan tools AI generatif oleh karyawan, khususnya dalam konteks produktivitas kerja tim Technology &amp; Information Directorate, dan sebagai fondasi untuk pengelolaan AI yang bertanggung jawab di masa mendatang.</w:t>
      </w:r>
    </w:p>
    <w:p>
      <w:pPr>
        <w:pStyle w:val="Heading2"/>
        <w:spacing w:after="120" w:before="280"/>
      </w:pPr>
      <w:r>
        <w:rPr>
          <w:rFonts w:ascii="Arial" w:cs="Arial" w:eastAsia="Arial" w:hAnsi="Arial"/>
          <w:b/>
          <w:bCs/>
          <w:color w:val="2E75B6"/>
          <w:sz w:val="26"/>
          <w:szCs w:val="26"/>
        </w:rPr>
        <w:t xml:space="preserve">1.2 Tujuan Framework</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Menetapkan prinsip, struktur tata kelola, dan standar operasional yang harus dipenuhi dalam setiap penggunaan AI di lingkungan Perusahaan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Melindungi data nasabah, data perusahaan, dan aset informasi dari risiko yang ditimbulkan oleh penggunaan AI yang tidak terkendali</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Memastikan kepatuhan terhadap Undang-Undang No. 27 Tahun 2022 tentang Pelindungan Data Pribadi (UU PDP), regulasi OJK, dan kebijakan keamanan informasi perusahaan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Mendorong inovasi berbasis AI yang bertanggung jawab dan terukur di seluruh unit organisasi</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Menyediakan kerangka pengambilan keputusan yang jelas bagi manajemen dan karyawan terkait penggunaan dan pengembangan AI</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1.3 Ruang Lingkup</w:t>
      </w:r>
    </w:p>
    <w:p>
      <w:pPr>
        <w:spacing w:after="40" w:before="60" w:line="280"/>
        <w:jc w:val="both"/>
      </w:pPr>
      <w:r>
        <w:rPr>
          <w:rFonts w:ascii="Arial" w:cs="Arial" w:eastAsia="Arial" w:hAnsi="Arial"/>
          <w:color w:val="1A1A1A"/>
          <w:sz w:val="22"/>
          <w:szCs w:val="22"/>
        </w:rPr>
        <w:t xml:space="preserve">Framework ini berlaku untuk:</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Seluruh karyawan tetap, karyawan kontrak, tenaga ahli, dan mitra kerja yang menggunakan sistem AI atas nama Perusahaan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Semua tools AI yang digunakan atau dikembangkan menggunakan infrastruktur atau anggaran Perusahaan, baik yang bersifat SaaS (Software as a Service) maupun yang dikembangkan secara internal</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Seluruh proses bisnis yang menggunakan AI sebagai bagian dari alur kerja, pengambilan keputusan, atau interaksi dengan nasabah</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Penggunaan AI baik di jam kerja maupun di luar jam kerja menggunakan akun atau perangkat yang disediakan Perusahaan</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1.4 Definisi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c>
          <w:tcPr>
            <w:tcW w:type="dxa" w:w="25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Istilah</w:t>
            </w:r>
          </w:p>
        </w:tc>
        <w:tc>
          <w:tcPr>
            <w:tcW w:type="dxa" w:w="6572"/>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Definisi</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Kecerdasan Buatan (AI)</w:t>
            </w:r>
          </w:p>
        </w:tc>
        <w:tc>
          <w:tcPr>
            <w:tcW w:type="dxa" w:w="65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Sistem perangkat lunak yang menggunakan teknik pembelajaran mesin, pemrosesan bahasa alami, atau metode lain untuk melakukan tugas yang biasanya memerlukan kecerdasan manusia</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AI Generatif</w:t>
            </w:r>
          </w:p>
        </w:tc>
        <w:tc>
          <w:tcPr>
            <w:tcW w:type="dxa" w:w="65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Jenis AI yang mampu menghasilkan teks, kode, gambar, atau konten lain berdasarkan instruksi pengguna. Contoh: AI Tools, ChatGPT, Gemini, Copilot</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AI Predictive</w:t>
            </w:r>
          </w:p>
        </w:tc>
        <w:tc>
          <w:tcPr>
            <w:tcW w:type="dxa" w:w="65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Jenis AI yang digunakan untuk memprediksi hasil berdasarkan data historis. Contoh: model scoring risiko nasabah, model deteksi fraud</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Data Controller</w:t>
            </w:r>
          </w:p>
        </w:tc>
        <w:tc>
          <w:tcPr>
            <w:tcW w:type="dxa" w:w="65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Pihak yang menentukan tujuan dan cara pemrosesan data pribadi. Dalam konteks UU PDP, PT Equity Life Indonesia adalah Data Controller untuk data nasabah dan karyawan</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Data Processor</w:t>
            </w:r>
          </w:p>
        </w:tc>
        <w:tc>
          <w:tcPr>
            <w:tcW w:type="dxa" w:w="65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Pihak yang memproses data pribadi atas nama Data Controller. Vendor AI seperti Vendor AI Tools berpotensi bertindak sebagai Data Processor jika data pribadi diinput ke sistemnya</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AI Use Case</w:t>
            </w:r>
          </w:p>
        </w:tc>
        <w:tc>
          <w:tcPr>
            <w:tcW w:type="dxa" w:w="65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Skenario spesifik penggunaan AI untuk menyelesaikan tugas atau masalah bisnis tertentu</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DPIA</w:t>
            </w:r>
          </w:p>
        </w:tc>
        <w:tc>
          <w:tcPr>
            <w:tcW w:type="dxa" w:w="65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Data Protection Impact Assessment — penilaian dampak perlindungan data yang wajib dilakukan sebelum memproses data pribadi dengan risiko tinggi</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TPRM</w:t>
            </w:r>
          </w:p>
        </w:tc>
        <w:tc>
          <w:tcPr>
            <w:tcW w:type="dxa" w:w="65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Third-Party Risk Management — proses penilaian risiko terhadap vendor pihak ketiga yang memiliki akses ke data atau sistem Perusahaan</w:t>
            </w:r>
          </w:p>
        </w:tc>
      </w:tr>
      <w:tr>
        <w:tc>
          <w:tcPr>
            <w:tcW w:type="dxa" w:w="25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Hallucination</w:t>
            </w:r>
          </w:p>
        </w:tc>
        <w:tc>
          <w:tcPr>
            <w:tcW w:type="dxa" w:w="65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Fenomena di mana AI menghasilkan informasi yang terlihat meyakinkan namun faktanya salah atau tidak berdasar. Risiko material bagi perusahaan asuransi jika output AI digunakan tanpa verifikasi.</w:t>
            </w:r>
          </w:p>
        </w:tc>
      </w:tr>
    </w:tbl>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B3A6B"/>
          <w:sz w:val="32"/>
          <w:szCs w:val="32"/>
        </w:rPr>
        <w:t xml:space="preserve">BAB II — DASAR HUKUM &amp; KERANGKA REGULASI</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2.1 Regulasi yang Berlaku</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72"/>
      </w:tblGrid>
      <w:tr>
        <w:tc>
          <w:tcPr>
            <w:tcW w:type="dxa" w:w="30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Regulasi</w:t>
            </w:r>
          </w:p>
        </w:tc>
        <w:tc>
          <w:tcPr>
            <w:tcW w:type="dxa" w:w="28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Cakupan Relevan</w:t>
            </w:r>
          </w:p>
        </w:tc>
        <w:tc>
          <w:tcPr>
            <w:tcW w:type="dxa" w:w="3272"/>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Implikasi bagi Penggunaan AI</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UU No. 27/2022 tentang Pelindungan Data Pribadi</w:t>
            </w:r>
          </w:p>
        </w:tc>
        <w:tc>
          <w:tcPr>
            <w:tcW w:type="dxa" w:w="2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Data pribadi nasabah, karyawan, dan pihak ketiga</w:t>
            </w:r>
          </w:p>
        </w:tc>
        <w:tc>
          <w:tcPr>
            <w:tcW w:type="dxa" w:w="3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Wajib ada DPA jika AI memproses data pribadi. Transfer ke luar negeri butuh mekanisme pelindungan setara.</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POJK No. 11/POJK.03/2022 tentang Penyelenggaraan Teknologi Informasi</w:t>
            </w:r>
          </w:p>
        </w:tc>
        <w:tc>
          <w:tcPr>
            <w:tcW w:type="dxa" w:w="2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Tata kelola TI, manajemen risiko TI, keamanan informasi</w:t>
            </w:r>
          </w:p>
        </w:tc>
        <w:tc>
          <w:tcPr>
            <w:tcW w:type="dxa" w:w="3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AI dikategorikan sebagai aset teknologi yang harus tunduk pada manajemen risiko TI.</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POJK No. 73/POJK.05/2016 tentang Tata Kelola Perusahaan Asuransi</w:t>
            </w:r>
          </w:p>
        </w:tc>
        <w:tc>
          <w:tcPr>
            <w:tcW w:type="dxa" w:w="2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Good Corporate Governance, manajemen risiko</w:t>
            </w:r>
          </w:p>
        </w:tc>
        <w:tc>
          <w:tcPr>
            <w:tcW w:type="dxa" w:w="3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Penggunaan AI dalam proses bisnis inti harus masuk dalam kerangka GCG dan dilaporkan ke Dewan Komisaris.</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UU No. 30/2000 tentang Rahasia Dagang</w:t>
            </w:r>
          </w:p>
        </w:tc>
        <w:tc>
          <w:tcPr>
            <w:tcW w:type="dxa" w:w="2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Perlindungan informasi bisnis rahasia</w:t>
            </w:r>
          </w:p>
        </w:tc>
        <w:tc>
          <w:tcPr>
            <w:tcW w:type="dxa" w:w="3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Source code, algoritma bisnis, dan arsitektur sistem yang diinput ke AI eksternal berpotensi melanggar perlindungan rahasia dagang.</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PP No. 71/2019 tentang Penyelenggaraan Sistem dan Transaksi Elektronik</w:t>
            </w:r>
          </w:p>
        </w:tc>
        <w:tc>
          <w:tcPr>
            <w:tcW w:type="dxa" w:w="2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Sistem elektronik, keamanan data, tanggung jawab penyelenggara</w:t>
            </w:r>
          </w:p>
        </w:tc>
        <w:tc>
          <w:tcPr>
            <w:tcW w:type="dxa" w:w="3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Perusahaan bertanggung jawab atas keamanan sistem yang mengintegrasikan AI.</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Kebijakan Keamanan Informasi ELI</w:t>
            </w:r>
          </w:p>
        </w:tc>
        <w:tc>
          <w:tcPr>
            <w:tcW w:type="dxa" w:w="2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Standar internal keamanan informasi</w:t>
            </w:r>
          </w:p>
        </w:tc>
        <w:tc>
          <w:tcPr>
            <w:tcW w:type="dxa" w:w="3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AI harus memenuhi seluruh ketentuan dalam kebijakan keamanan informasi yang berlaku di Perusahaan.</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2.2 Klarifikasi: Kapan UU PDP Berlaku dalam Konteks Penggunaan AI?</w:t>
      </w:r>
    </w:p>
    <w:p>
      <w:pPr>
        <w:pBdr>
          <w:left w:val="single" w:color="00695C" w:sz="14" w:space="10"/>
        </w:pBdr>
        <w:shd w:fill="E0F2F1" w:val="clear"/>
        <w:spacing w:after="120" w:before="120" w:line="276"/>
        <w:ind w:left="400"/>
      </w:pPr>
      <w:r>
        <w:rPr>
          <w:rFonts w:ascii="Arial" w:cs="Arial" w:eastAsia="Arial" w:hAnsi="Arial"/>
          <w:i/>
          <w:iCs/>
          <w:color w:val="1A1A1A"/>
          <w:sz w:val="21"/>
          <w:szCs w:val="21"/>
        </w:rPr>
        <w:t xml:space="preserve">Bagian ini menjawab pertanyaan umum: "Jika AI hanya digunakan untuk data teknis IT (kode, dokumentasi, flow diagram) — apakah UU PDP berlaku?" Jawabannya bersifat kondisional, bergantung pada jenis data yang diinput.</w:t>
      </w:r>
    </w:p>
    <w:p>
      <w:pPr>
        <w:spacing w:after="60" w:before="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272"/>
      </w:tblGrid>
      <w:tr>
        <w:tc>
          <w:tcPr>
            <w:tcW w:type="dxa" w:w="28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Jenis Data yang Diinput ke AI</w:t>
            </w:r>
          </w:p>
        </w:tc>
        <w:tc>
          <w:tcPr>
            <w:tcW w:type="dxa" w:w="18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UU PDP Berlaku?</w:t>
            </w:r>
          </w:p>
        </w:tc>
        <w:tc>
          <w:tcPr>
            <w:tcW w:type="dxa" w:w="22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Risiko Lain yang Relevan</w:t>
            </w:r>
          </w:p>
        </w:tc>
        <w:tc>
          <w:tcPr>
            <w:tcW w:type="dxa" w:w="2272"/>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Tindakan yang Diperlukan</w:t>
            </w:r>
          </w:p>
        </w:tc>
      </w:tr>
      <w:tr>
        <w:tc>
          <w:tcPr>
            <w:tcW w:type="dxa" w:w="2800"/>
            <w:gridSpan w:val="1"/>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Pseudocode, flow diagram, user story tanpa data aktual, template teknis umum</w:t>
            </w:r>
          </w:p>
        </w:tc>
        <w:tc>
          <w:tcPr>
            <w:tcW w:type="dxa" w:w="1800"/>
            <w:gridSpan w:val="1"/>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375623"/>
                <w:sz w:val="20"/>
                <w:szCs w:val="20"/>
              </w:rPr>
              <w:t xml:space="preserve">✗ TIDAK BERLAKU</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Risiko rahasia dagang jika algoritma bisnis inti</w:t>
            </w:r>
          </w:p>
        </w:tc>
        <w:tc>
          <w:tcPr>
            <w:tcW w:type="dxa" w:w="2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AI AUP cukup. DPA opsional sebagai good practice.</w:t>
            </w:r>
          </w:p>
        </w:tc>
      </w:tr>
      <w:tr>
        <w:tc>
          <w:tcPr>
            <w:tcW w:type="dxa" w:w="2800"/>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Source code sistem inti, arsitektur infrastruktur detail, konfigurasi database tanpa data aktual</w:t>
            </w:r>
          </w:p>
        </w:tc>
        <w:tc>
          <w:tcPr>
            <w:tcW w:type="dxa" w:w="1800"/>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E26B0A"/>
                <w:sz w:val="20"/>
                <w:szCs w:val="20"/>
              </w:rPr>
              <w:t xml:space="preserve">✗ TIDAK BERLAKU (kecuali ada data pribadi tersembunyi)</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Risiko tinggi rahasia dagang dan IP. Regulasi: UU Rahasia Dagang.</w:t>
            </w:r>
          </w:p>
        </w:tc>
        <w:tc>
          <w:tcPr>
            <w:tcW w:type="dxa" w:w="2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Hanya abstraksi. Full code dilarang. Review Tech Lead wajib.</w:t>
            </w:r>
          </w:p>
        </w:tc>
      </w:tr>
      <w:tr>
        <w:tc>
          <w:tcPr>
            <w:tcW w:type="dxa" w:w="2800"/>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Log error, log sistem yang mengandung username atau data identifikasi</w:t>
            </w:r>
          </w:p>
        </w:tc>
        <w:tc>
          <w:tcPr>
            <w:tcW w:type="dxa" w:w="1800"/>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E26B0A"/>
                <w:sz w:val="20"/>
                <w:szCs w:val="20"/>
              </w:rPr>
              <w:t xml:space="preserve">⚠ BERPOTENSI BERLAKU — tergantung isi log</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PII bisa tersembunyi dalam log (username = data pribadi)</w:t>
            </w:r>
          </w:p>
        </w:tc>
        <w:tc>
          <w:tcPr>
            <w:tcW w:type="dxa" w:w="2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Wajib anonymize/pseudonymize log sebelum input ke AI.</w:t>
            </w:r>
          </w:p>
        </w:tc>
      </w:tr>
      <w:tr>
        <w:tc>
          <w:tcPr>
            <w:tcW w:type="dxa" w:w="2800"/>
            <w:gridSpan w:val="1"/>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Data test/development yang menggunakan data nasabah asli</w:t>
            </w:r>
          </w:p>
        </w:tc>
        <w:tc>
          <w:tcPr>
            <w:tcW w:type="dxa" w:w="1800"/>
            <w:gridSpan w:val="1"/>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C00000"/>
                <w:sz w:val="20"/>
                <w:szCs w:val="20"/>
              </w:rPr>
              <w:t xml:space="preserve">✓ BERLAKU PENUH</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Pelanggaran UU PDP serius. DPA wajib. DPIA wajib.</w:t>
            </w:r>
          </w:p>
        </w:tc>
        <w:tc>
          <w:tcPr>
            <w:tcW w:type="dxa" w:w="2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bCs/>
                <w:i w:val="false"/>
                <w:iCs w:val="false"/>
                <w:color w:val="C00000"/>
                <w:sz w:val="20"/>
                <w:szCs w:val="20"/>
              </w:rPr>
              <w:t xml:space="preserve">DILARANG. Wajib gunakan data sintetis atau dummy untuk testing.</w:t>
            </w:r>
          </w:p>
        </w:tc>
      </w:tr>
      <w:tr>
        <w:tc>
          <w:tcPr>
            <w:tcW w:type="dxa" w:w="2800"/>
            <w:gridSpan w:val="1"/>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Data nasabah aktual (PII, data medis, data keuangan, KYC)</w:t>
            </w:r>
          </w:p>
        </w:tc>
        <w:tc>
          <w:tcPr>
            <w:tcW w:type="dxa" w:w="1800"/>
            <w:gridSpan w:val="1"/>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C00000"/>
                <w:sz w:val="20"/>
                <w:szCs w:val="20"/>
              </w:rPr>
              <w:t xml:space="preserve">✓ BERLAKU PENUH</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Risiko sanksi OJK, sanksi pidana UU PDP, reputasi</w:t>
            </w:r>
          </w:p>
        </w:tc>
        <w:tc>
          <w:tcPr>
            <w:tcW w:type="dxa" w:w="2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bCs/>
                <w:i w:val="false"/>
                <w:iCs w:val="false"/>
                <w:color w:val="C00000"/>
                <w:sz w:val="20"/>
                <w:szCs w:val="20"/>
              </w:rPr>
              <w:t xml:space="preserve">DILARANG KERAS tanpa DPA, DPIA, dan persetujuan Komite TI.</w:t>
            </w:r>
          </w:p>
        </w:tc>
      </w:tr>
    </w:tbl>
    <w:p>
      <w:pPr>
        <w:spacing w:after="60" w:before="60"/>
      </w:pPr>
      <w:r>
        <w:t xml:space="preserve"/>
      </w:r>
    </w:p>
    <w:p>
      <w:pPr>
        <w:pBdr>
          <w:left w:val="single" w:color="00695C" w:sz="14" w:space="10"/>
        </w:pBdr>
        <w:shd w:fill="E0F2F1" w:val="clear"/>
        <w:spacing w:after="120" w:before="120" w:line="276"/>
        <w:ind w:left="400"/>
      </w:pPr>
      <w:r>
        <w:rPr>
          <w:rFonts w:ascii="Arial" w:cs="Arial" w:eastAsia="Arial" w:hAnsi="Arial"/>
          <w:i/>
          <w:iCs/>
          <w:color w:val="1A1A1A"/>
          <w:sz w:val="21"/>
          <w:szCs w:val="21"/>
        </w:rPr>
        <w:t xml:space="preserve">KESIMPULAN PRAKTIS: Untuk use case tim IT yang murni produktivitas teknis (coding, dokumentasi, analisis sistem) — UU PDP tidak terpicu selama data nasabah aktual tidak diinput. Namun risiko rahasia dagang tetap perlu dikelola melalui AI AUP. Kewajiban DPA menjadi wajib hanya jika data pribadi diproses.</w:t>
      </w:r>
    </w:p>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B3A6B"/>
          <w:sz w:val="32"/>
          <w:szCs w:val="32"/>
        </w:rPr>
        <w:t xml:space="preserve">BAB III — PRINSIP AI YANG BERTANGGUNG JAWAB</w:t>
      </w:r>
    </w:p>
    <w:p>
      <w:pPr>
        <w:spacing w:after="40" w:before="40"/>
      </w:pPr>
      <w:r>
        <w:t xml:space="preserve"/>
      </w:r>
    </w:p>
    <w:p>
      <w:pPr>
        <w:spacing w:after="80" w:before="80" w:line="280"/>
        <w:jc w:val="both"/>
      </w:pPr>
      <w:r>
        <w:rPr>
          <w:rFonts w:ascii="Arial" w:cs="Arial" w:eastAsia="Arial" w:hAnsi="Arial"/>
          <w:color w:val="1A1A1A"/>
          <w:sz w:val="22"/>
          <w:szCs w:val="22"/>
        </w:rPr>
        <w:t xml:space="preserve">PT Equity Life Indonesia mengadopsi enam prinsip utama dalam penggunaan AI, yang selaras dengan standar internasional (OECD AI Principles, EU AI Act) dan disesuaikan dengan konteks industri asuransi di Indonesia.</w:t>
      </w:r>
    </w:p>
    <w:p>
      <w:pPr>
        <w:spacing w:after="60" w:before="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500"/>
        <w:gridCol w:w="3172"/>
      </w:tblGrid>
      <w:tr>
        <w:tc>
          <w:tcPr>
            <w:tcW w:type="dxa" w:w="4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w:t>
            </w:r>
          </w:p>
        </w:tc>
        <w:tc>
          <w:tcPr>
            <w:tcW w:type="dxa" w:w="20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Prinsip</w:t>
            </w:r>
          </w:p>
        </w:tc>
        <w:tc>
          <w:tcPr>
            <w:tcW w:type="dxa" w:w="35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Makna</w:t>
            </w:r>
          </w:p>
        </w:tc>
        <w:tc>
          <w:tcPr>
            <w:tcW w:type="dxa" w:w="3172"/>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Penerapan di ELI</w:t>
            </w:r>
          </w:p>
        </w:tc>
      </w:tr>
      <w:tr>
        <w:tc>
          <w:tcPr>
            <w:tcW w:type="dxa" w:w="4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FFFFFF"/>
                <w:sz w:val="20"/>
                <w:szCs w:val="20"/>
              </w:rPr>
              <w:t xml:space="preserve">1</w:t>
            </w:r>
          </w:p>
        </w:tc>
        <w:tc>
          <w:tcPr>
            <w:tcW w:type="dxa" w:w="20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Transparansi &amp; Keterbukaan</w:t>
            </w:r>
          </w:p>
        </w:tc>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Penggunaan AI harus dapat dijelaskan dan dipertanggungjawabkan. Nasabah, karyawan, dan regulator berhak mengetahui ketika AI berperan dalam proses yang memengaruhi mereka.</w:t>
            </w:r>
          </w:p>
        </w:tc>
        <w:tc>
          <w:tcPr>
            <w:tcW w:type="dxa" w:w="31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Setiap output AI yang digunakan dalam keputusan bisnis harus diberi label. Tidak ada keputusan otomatis penuh terhadap nasabah tanpa review manusia.</w:t>
            </w:r>
          </w:p>
        </w:tc>
      </w:tr>
      <w:tr>
        <w:tc>
          <w:tcPr>
            <w:tcW w:type="dxa" w:w="4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FFFFFF"/>
                <w:sz w:val="20"/>
                <w:szCs w:val="20"/>
              </w:rPr>
              <w:t xml:space="preserve">2</w:t>
            </w:r>
          </w:p>
        </w:tc>
        <w:tc>
          <w:tcPr>
            <w:tcW w:type="dxa" w:w="20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Akuntabilitas Manusia</w:t>
            </w:r>
          </w:p>
        </w:tc>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Manusia tetap bertanggung jawab atas setiap keputusan yang melibatkan AI. Output AI tidak mengurangi tanggung jawab profesional individu.</w:t>
            </w:r>
          </w:p>
        </w:tc>
        <w:tc>
          <w:tcPr>
            <w:tcW w:type="dxa" w:w="31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Pengguna AI bertanggung jawab penuh atas output yang digunakan dalam pekerjaan. Tech Lead bertanggung jawab atas output AI dalam produk yang dikembangkan timnya.</w:t>
            </w:r>
          </w:p>
        </w:tc>
      </w:tr>
      <w:tr>
        <w:tc>
          <w:tcPr>
            <w:tcW w:type="dxa" w:w="4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FFFFFF"/>
                <w:sz w:val="20"/>
                <w:szCs w:val="20"/>
              </w:rPr>
              <w:t xml:space="preserve">3</w:t>
            </w:r>
          </w:p>
        </w:tc>
        <w:tc>
          <w:tcPr>
            <w:tcW w:type="dxa" w:w="20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Privasi by Design</w:t>
            </w:r>
          </w:p>
        </w:tc>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Perlindungan data pribadi diintegrasikan sejak tahap desain penggunaan AI, bukan ditambahkan sebagai afterthought.</w:t>
            </w:r>
          </w:p>
        </w:tc>
        <w:tc>
          <w:tcPr>
            <w:tcW w:type="dxa" w:w="31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DPIA wajib dilakukan sebelum go-live untuk use case yang menyentuh data pribadi. Minimisasi data: hanya input yang benar-benar diperlukan.</w:t>
            </w:r>
          </w:p>
        </w:tc>
      </w:tr>
      <w:tr>
        <w:tc>
          <w:tcPr>
            <w:tcW w:type="dxa" w:w="4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FFFFFF"/>
                <w:sz w:val="20"/>
                <w:szCs w:val="20"/>
              </w:rPr>
              <w:t xml:space="preserve">4</w:t>
            </w:r>
          </w:p>
        </w:tc>
        <w:tc>
          <w:tcPr>
            <w:tcW w:type="dxa" w:w="20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Keadilan &amp; Non-Diskriminasi</w:t>
            </w:r>
          </w:p>
        </w:tc>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AI tidak boleh menghasilkan output yang mendiskriminasi nasabah atau karyawan berdasarkan karakteristik yang dilindungi hukum.</w:t>
            </w:r>
          </w:p>
        </w:tc>
        <w:tc>
          <w:tcPr>
            <w:tcW w:type="dxa" w:w="31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Setiap model AI yang digunakan dalam underwriting atau klaim wajib melalui bias testing sebelum deployment. Audit berkala oleh Internal Audit.</w:t>
            </w:r>
          </w:p>
        </w:tc>
      </w:tr>
      <w:tr>
        <w:tc>
          <w:tcPr>
            <w:tcW w:type="dxa" w:w="4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FFFFFF"/>
                <w:sz w:val="20"/>
                <w:szCs w:val="20"/>
              </w:rPr>
              <w:t xml:space="preserve">5</w:t>
            </w:r>
          </w:p>
        </w:tc>
        <w:tc>
          <w:tcPr>
            <w:tcW w:type="dxa" w:w="20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Keamanan &amp; Ketahanan</w:t>
            </w:r>
          </w:p>
        </w:tc>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Sistem AI harus aman dari eksploitasi, serangan adversarial, dan prompt injection. Ketahanan sistem terhadap gangguan harus diuji secara berkala.</w:t>
            </w:r>
          </w:p>
        </w:tc>
        <w:tc>
          <w:tcPr>
            <w:tcW w:type="dxa" w:w="31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Penetration testing wajib untuk sistem AI yang menghadap pengguna eksternal. Monitoring anomali melalui SIEM untuk AI tools internal.</w:t>
            </w:r>
          </w:p>
        </w:tc>
      </w:tr>
      <w:tr>
        <w:tc>
          <w:tcPr>
            <w:tcW w:type="dxa" w:w="4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FFFFFF"/>
                <w:sz w:val="20"/>
                <w:szCs w:val="20"/>
              </w:rPr>
              <w:t xml:space="preserve">6</w:t>
            </w:r>
          </w:p>
        </w:tc>
        <w:tc>
          <w:tcPr>
            <w:tcW w:type="dxa" w:w="20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Proporsionalitas &amp; Minimisasi Risiko</w:t>
            </w:r>
          </w:p>
        </w:tc>
        <w:tc>
          <w:tcPr>
            <w:tcW w:type="dxa" w:w="35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Penggunaan AI harus proporsional dengan tujuannya. Jangan gunakan AI dengan risiko tinggi jika ada alternatif yang lebih aman dengan hasil yang setara.</w:t>
            </w:r>
          </w:p>
        </w:tc>
        <w:tc>
          <w:tcPr>
            <w:tcW w:type="dxa" w:w="31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Klasifikasi risiko AI (Kelas A/B/C) menentukan tingkat kontrol yang diperlukan. Semakin tinggi risiko, semakin ketat prasyarat approval.</w:t>
            </w:r>
          </w:p>
        </w:tc>
      </w:tr>
    </w:tbl>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B3A6B"/>
          <w:sz w:val="32"/>
          <w:szCs w:val="32"/>
        </w:rPr>
        <w:t xml:space="preserve">BAB IV — KLASIFIKASI PENGGUNAAN AI</w:t>
      </w:r>
    </w:p>
    <w:p>
      <w:pPr>
        <w:spacing w:after="40" w:before="40"/>
      </w:pPr>
      <w:r>
        <w:t xml:space="preserve"/>
      </w:r>
    </w:p>
    <w:p>
      <w:pPr>
        <w:spacing w:after="80" w:before="80" w:line="280"/>
        <w:jc w:val="both"/>
      </w:pPr>
      <w:r>
        <w:rPr>
          <w:rFonts w:ascii="Arial" w:cs="Arial" w:eastAsia="Arial" w:hAnsi="Arial"/>
          <w:color w:val="1A1A1A"/>
          <w:sz w:val="22"/>
          <w:szCs w:val="22"/>
        </w:rPr>
        <w:t xml:space="preserve">Setiap penggunaan AI di PT Equity Life Indonesia diklasifikasikan ke dalam tiga kelas berdasarkan tingkat risiko terhadap nasabah, perusahaan, dan data pribadi. Kelas risiko menentukan persyaratan approval, kontrol yang diperlukan, dan frekuensi monitoring.</w:t>
      </w:r>
    </w:p>
    <w:p>
      <w:pPr>
        <w:spacing w:after="60" w:before="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gridSpan w:val="1"/>
            <w:tcBorders>
              <w:top w:val="single" w:color="D9D9D9" w:sz="1"/>
              <w:left w:val="single" w:color="D9D9D9" w:sz="1"/>
              <w:bottom w:val="single" w:color="D9D9D9" w:sz="1"/>
              <w:right w:val="single" w:color="D9D9D9" w:sz="1"/>
            </w:tcBorders>
            <w:shd w:fill="C00000"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2"/>
                <w:szCs w:val="22"/>
              </w:rPr>
              <w:t xml:space="preserve">KELAS A — RISIKO TINGGI</w:t>
            </w: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Definisi</w:t>
            </w:r>
          </w:p>
        </w:tc>
        <w:tc>
          <w:tcPr>
            <w:tcW w:type="dxa" w:w="60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AI yang membuat, sangat memengaruhi, atau mengotomasi keputusan material terhadap nasabah, termasuk keputusan yang berdampak pada penerimaan, penolakan, atau nilai manfaat asuransi.</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Contoh Use Case</w:t>
            </w:r>
          </w:p>
        </w:tc>
        <w:tc>
          <w:tcPr>
            <w:tcW w:type="dxa" w:w="60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Keputusan klaim otomatis, scoring risiko underwriting nasabah, deteksi fraud klaim, pricing dinamis berbasis AI, credit scoring untuk produk bancassurance</w:t>
            </w:r>
          </w:p>
        </w:tc>
      </w:tr>
      <w:tr>
        <w:tc>
          <w:tcPr>
            <w:tcW w:type="dxa" w:w="3000"/>
            <w:gridSpan w:val="1"/>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Prasyarat Wajib</w:t>
            </w:r>
          </w:p>
        </w:tc>
        <w:tc>
          <w:tcPr>
            <w:tcW w:type="dxa" w:w="60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DPIA wajib • DPA dengan vendor AI • Approval Komite TI dan Komite Manajemen Risiko • Human oversight wajib (tidak boleh fully automated) • Audit oleh Internal Audit minimal tahunan • Notifikasi ke OJK jika diperlukan</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Status Saat Ini di ELI</w:t>
            </w:r>
          </w:p>
        </w:tc>
        <w:tc>
          <w:tcPr>
            <w:tcW w:type="dxa" w:w="60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bCs/>
                <w:i w:val="false"/>
                <w:iCs w:val="false"/>
                <w:color w:val="C00000"/>
                <w:sz w:val="20"/>
                <w:szCs w:val="20"/>
              </w:rPr>
              <w:t xml:space="preserve">BELUM DIIZINKAN. Diperlukan framework khusus dan persetujuan manajemen puncak sebelum implementasi.</w:t>
            </w:r>
          </w:p>
        </w:tc>
      </w:tr>
    </w:tbl>
    <w:p>
      <w:pPr>
        <w:spacing w:after="60" w:before="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gridSpan w:val="1"/>
            <w:tcBorders>
              <w:top w:val="single" w:color="D9D9D9" w:sz="1"/>
              <w:left w:val="single" w:color="D9D9D9" w:sz="1"/>
              <w:bottom w:val="single" w:color="D9D9D9" w:sz="1"/>
              <w:right w:val="single" w:color="D9D9D9" w:sz="1"/>
            </w:tcBorders>
            <w:shd w:fill="E26B0A"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2"/>
                <w:szCs w:val="22"/>
              </w:rPr>
              <w:t xml:space="preserve">KELAS B — RISIKO SEDANG</w:t>
            </w: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Definisi</w:t>
            </w:r>
          </w:p>
        </w:tc>
        <w:tc>
          <w:tcPr>
            <w:tcW w:type="dxa" w:w="60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AI yang digunakan dalam proses bisnis internal yang berpotensi memengaruhi nasabah secara tidak langsung, atau AI yang memproses data nasabah untuk tujuan analisis dan pelaporan.</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Contoh Use Case</w:t>
            </w:r>
          </w:p>
        </w:tc>
        <w:tc>
          <w:tcPr>
            <w:tcW w:type="dxa" w:w="60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Analisis sentimen nasabah, segmentasi portfolio, prediksi churn, customer analytics, summarisasi dokumen nasabah untuk keperluan internal, draft komunikasi ke nasabah</w:t>
            </w:r>
          </w:p>
        </w:tc>
      </w:tr>
      <w:tr>
        <w:tc>
          <w:tcPr>
            <w:tcW w:type="dxa" w:w="3000"/>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Prasyarat Wajib</w:t>
            </w:r>
          </w:p>
        </w:tc>
        <w:tc>
          <w:tcPr>
            <w:tcW w:type="dxa" w:w="60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DPIA wajib (jika ada data pribadi) • DPA dengan vendor AI • Approval Komite TI • Training pengguna wajib • Review hasil AI oleh manusia sebelum digunakan</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Status Saat Ini di ELI</w:t>
            </w:r>
          </w:p>
        </w:tc>
        <w:tc>
          <w:tcPr>
            <w:tcW w:type="dxa" w:w="60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bCs/>
                <w:i w:val="false"/>
                <w:iCs w:val="false"/>
                <w:color w:val="E26B0A"/>
                <w:sz w:val="20"/>
                <w:szCs w:val="20"/>
              </w:rPr>
              <w:t xml:space="preserve">PERLU EVALUASI KASUS PER KASUS. Wajib melalui proses approval lengkap sebelum go-live.</w:t>
            </w:r>
          </w:p>
        </w:tc>
      </w:tr>
    </w:tbl>
    <w:p>
      <w:pPr>
        <w:spacing w:after="60" w:before="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gridSpan w:val="1"/>
            <w:tcBorders>
              <w:top w:val="single" w:color="D9D9D9" w:sz="1"/>
              <w:left w:val="single" w:color="D9D9D9" w:sz="1"/>
              <w:bottom w:val="single" w:color="D9D9D9" w:sz="1"/>
              <w:right w:val="single" w:color="D9D9D9" w:sz="1"/>
            </w:tcBorders>
            <w:shd w:fill="375623"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2"/>
                <w:szCs w:val="22"/>
              </w:rPr>
              <w:t xml:space="preserve">KELAS C — RISIKO RENDAH</w:t>
            </w: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Definisi</w:t>
            </w:r>
          </w:p>
        </w:tc>
        <w:tc>
          <w:tcPr>
            <w:tcW w:type="dxa" w:w="60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AI untuk produktivitas kerja internal tanpa akses atau pemrosesan data nasabah aktual. Penggunaannya terbatas pada peningkatan efisiensi tim internal.</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Contoh Use Case</w:t>
            </w:r>
          </w:p>
        </w:tc>
        <w:tc>
          <w:tcPr>
            <w:tcW w:type="dxa" w:w="60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Coding assistant, code review, dokumentasi teknis, penyusunan user story, analisis kebutuhan bisnis internal, draft dokumen kerja, riset dari sumber publik</w:t>
            </w:r>
          </w:p>
        </w:tc>
      </w:tr>
      <w:tr>
        <w:tc>
          <w:tcPr>
            <w:tcW w:type="dxa" w:w="3000"/>
            <w:gridSpan w:val="1"/>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Prasyarat Wajib</w:t>
            </w:r>
          </w:p>
        </w:tc>
        <w:tc>
          <w:tcPr>
            <w:tcW w:type="dxa" w:w="60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AI AUP ditandatangani • Training pengguna • Approval atasan langsung • Monitoring penggunaan berkala oleh IT Security</w:t>
            </w:r>
          </w:p>
        </w:tc>
      </w:tr>
      <w:tr>
        <w:tc>
          <w:tcPr>
            <w:tcW w:type="dxa" w:w="3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Status Saat Ini di ELI</w:t>
            </w:r>
          </w:p>
        </w:tc>
        <w:tc>
          <w:tcPr>
            <w:tcW w:type="dxa" w:w="60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bCs/>
                <w:i w:val="false"/>
                <w:iCs w:val="false"/>
                <w:color w:val="375623"/>
                <w:sz w:val="20"/>
                <w:szCs w:val="20"/>
              </w:rPr>
              <w:t xml:space="preserve">DIIZINKAN dengan pemenuhan prasyarat di atas. AI Tools (Proposal 202603.0001) masuk dalam kelas ini.</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4.2 Matriks Risiko AI per Direktorat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600"/>
        <w:gridCol w:w="1472"/>
      </w:tblGrid>
      <w:tr>
        <w:tc>
          <w:tcPr>
            <w:tcW w:type="dxa" w:w="22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Direktorat</w:t>
            </w:r>
          </w:p>
        </w:tc>
        <w:tc>
          <w:tcPr>
            <w:tcW w:type="dxa" w:w="20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Contoh Use Case AI</w:t>
            </w:r>
          </w:p>
        </w:tc>
        <w:tc>
          <w:tcPr>
            <w:tcW w:type="dxa" w:w="18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Kelas Risiko</w:t>
            </w:r>
          </w:p>
        </w:tc>
        <w:tc>
          <w:tcPr>
            <w:tcW w:type="dxa" w:w="16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UU PDP Berlaku?</w:t>
            </w:r>
          </w:p>
        </w:tc>
        <w:tc>
          <w:tcPr>
            <w:tcW w:type="dxa" w:w="1472"/>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Kontrol Utama</w:t>
            </w:r>
          </w:p>
        </w:tc>
      </w:tr>
      <w:tr>
        <w:tc>
          <w:tcPr>
            <w:tcW w:type="dxa" w:w="2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Technology &amp; Information</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Coding, debugging, dokumentasi teknis, analisis kebutuhan sistem</w:t>
            </w:r>
          </w:p>
        </w:tc>
        <w:tc>
          <w:tcPr>
            <w:tcW w:type="dxa" w:w="1800"/>
            <w:gridSpan w:val="1"/>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375623"/>
                <w:sz w:val="20"/>
                <w:szCs w:val="20"/>
              </w:rPr>
              <w:t xml:space="preserve">C — Rendah</w:t>
            </w:r>
          </w:p>
        </w:tc>
        <w:tc>
          <w:tcPr>
            <w:tcW w:type="dxa" w:w="16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Tidak (jika tidak ada data pribadi)</w:t>
            </w:r>
          </w:p>
        </w:tc>
        <w:tc>
          <w:tcPr>
            <w:tcW w:type="dxa" w:w="1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AI AUP, proxy logging</w:t>
            </w:r>
          </w:p>
        </w:tc>
      </w:tr>
      <w:tr>
        <w:tc>
          <w:tcPr>
            <w:tcW w:type="dxa" w:w="2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Operation (Underwriting &amp; Klaim)</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Review dokumen nasabah, analisis klaim, deteksi fraud</w:t>
            </w:r>
          </w:p>
        </w:tc>
        <w:tc>
          <w:tcPr>
            <w:tcW w:type="dxa" w:w="1800"/>
            <w:gridSpan w:val="1"/>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C00000"/>
                <w:sz w:val="20"/>
                <w:szCs w:val="20"/>
              </w:rPr>
              <w:t xml:space="preserve">A/B — Tinggi</w:t>
            </w:r>
          </w:p>
        </w:tc>
        <w:tc>
          <w:tcPr>
            <w:tcW w:type="dxa" w:w="16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bCs/>
                <w:i w:val="false"/>
                <w:iCs w:val="false"/>
                <w:color w:val="C00000"/>
                <w:sz w:val="20"/>
                <w:szCs w:val="20"/>
              </w:rPr>
              <w:t xml:space="preserve">Ya — wajib penuh</w:t>
            </w:r>
          </w:p>
        </w:tc>
        <w:tc>
          <w:tcPr>
            <w:tcW w:type="dxa" w:w="1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DPIA, DPA, human oversight wajib</w:t>
            </w:r>
          </w:p>
        </w:tc>
      </w:tr>
      <w:tr>
        <w:tc>
          <w:tcPr>
            <w:tcW w:type="dxa" w:w="2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Business (Sales &amp; Produk)</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Riset pasar, materi pemasaran, analisis kompetitor</w:t>
            </w:r>
          </w:p>
        </w:tc>
        <w:tc>
          <w:tcPr>
            <w:tcW w:type="dxa" w:w="1800"/>
            <w:gridSpan w:val="1"/>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375623"/>
                <w:sz w:val="20"/>
                <w:szCs w:val="20"/>
              </w:rPr>
              <w:t xml:space="preserve">C — Rendah</w:t>
            </w:r>
          </w:p>
        </w:tc>
        <w:tc>
          <w:tcPr>
            <w:tcW w:type="dxa" w:w="16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Tidak (jika data publik/agregat)</w:t>
            </w:r>
          </w:p>
        </w:tc>
        <w:tc>
          <w:tcPr>
            <w:tcW w:type="dxa" w:w="1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AI AUP, larangan input data nasabah</w:t>
            </w:r>
          </w:p>
        </w:tc>
      </w:tr>
      <w:tr>
        <w:tc>
          <w:tcPr>
            <w:tcW w:type="dxa" w:w="2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Finance &amp; Investment</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Summarisasi laporan publik, riset investasi</w:t>
            </w:r>
          </w:p>
        </w:tc>
        <w:tc>
          <w:tcPr>
            <w:tcW w:type="dxa" w:w="1800"/>
            <w:gridSpan w:val="1"/>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375623"/>
                <w:sz w:val="20"/>
                <w:szCs w:val="20"/>
              </w:rPr>
              <w:t xml:space="preserve">C — Rendah</w:t>
            </w:r>
          </w:p>
        </w:tc>
        <w:tc>
          <w:tcPr>
            <w:tcW w:type="dxa" w:w="16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Tidak (jika data publik)</w:t>
            </w:r>
          </w:p>
        </w:tc>
        <w:tc>
          <w:tcPr>
            <w:tcW w:type="dxa" w:w="1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AI AUP, larangan input data keuangan internal</w:t>
            </w:r>
          </w:p>
        </w:tc>
      </w:tr>
      <w:tr>
        <w:tc>
          <w:tcPr>
            <w:tcW w:type="dxa" w:w="2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Human Capital</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Draft JD, materi training, template kebijakan</w:t>
            </w:r>
          </w:p>
        </w:tc>
        <w:tc>
          <w:tcPr>
            <w:tcW w:type="dxa" w:w="1800"/>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E26B0A"/>
                <w:sz w:val="20"/>
                <w:szCs w:val="20"/>
              </w:rPr>
              <w:t xml:space="preserve">C/B — Rendah/Sedang</w:t>
            </w:r>
          </w:p>
        </w:tc>
        <w:tc>
          <w:tcPr>
            <w:tcW w:type="dxa" w:w="16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Tergantung konten (hati-hati jika menyentuh data karyawan)</w:t>
            </w:r>
          </w:p>
        </w:tc>
        <w:tc>
          <w:tcPr>
            <w:tcW w:type="dxa" w:w="1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AI AUP, larangan input data personal karyawan</w:t>
            </w:r>
          </w:p>
        </w:tc>
      </w:tr>
      <w:tr>
        <w:tc>
          <w:tcPr>
            <w:tcW w:type="dxa" w:w="2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Legal &amp; Compliance</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Riset regulasi publik, draft template kontrak</w:t>
            </w:r>
          </w:p>
        </w:tc>
        <w:tc>
          <w:tcPr>
            <w:tcW w:type="dxa" w:w="1800"/>
            <w:gridSpan w:val="1"/>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375623"/>
                <w:sz w:val="20"/>
                <w:szCs w:val="20"/>
              </w:rPr>
              <w:t xml:space="preserve">C — Rendah</w:t>
            </w:r>
          </w:p>
        </w:tc>
        <w:tc>
          <w:tcPr>
            <w:tcW w:type="dxa" w:w="16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Tidak (jika tidak ada data pihak ketiga)</w:t>
            </w:r>
          </w:p>
        </w:tc>
        <w:tc>
          <w:tcPr>
            <w:tcW w:type="dxa" w:w="1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AI AUP, larangan input kontrak yang ditandatangani</w:t>
            </w:r>
          </w:p>
        </w:tc>
      </w:tr>
      <w:tr>
        <w:tc>
          <w:tcPr>
            <w:tcW w:type="dxa" w:w="2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Customer Analytics &amp; Insight</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Analisis tren nasabah, segmentasi, prediksi</w:t>
            </w:r>
          </w:p>
        </w:tc>
        <w:tc>
          <w:tcPr>
            <w:tcW w:type="dxa" w:w="1800"/>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E26B0A"/>
                <w:sz w:val="20"/>
                <w:szCs w:val="20"/>
              </w:rPr>
              <w:t xml:space="preserve">B — Sedang</w:t>
            </w:r>
          </w:p>
        </w:tc>
        <w:tc>
          <w:tcPr>
            <w:tcW w:type="dxa" w:w="16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bCs/>
                <w:i w:val="false"/>
                <w:iCs w:val="false"/>
                <w:color w:val="E26B0A"/>
                <w:sz w:val="20"/>
                <w:szCs w:val="20"/>
              </w:rPr>
              <w:t xml:space="preserve">Ya jika menggunakan data aktual</w:t>
            </w:r>
          </w:p>
        </w:tc>
        <w:tc>
          <w:tcPr>
            <w:tcW w:type="dxa" w:w="1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DPIA, DPA, approval Komite TI</w:t>
            </w:r>
          </w:p>
        </w:tc>
      </w:tr>
    </w:tbl>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B3A6B"/>
          <w:sz w:val="32"/>
          <w:szCs w:val="32"/>
        </w:rPr>
        <w:t xml:space="preserve">BAB V — STRUKTUR TATA KELOLA AI</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5.1 Hierarki Tata Kelola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3472"/>
      </w:tblGrid>
      <w:tr>
        <w:tc>
          <w:tcPr>
            <w:tcW w:type="dxa" w:w="4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Level</w:t>
            </w:r>
          </w:p>
        </w:tc>
        <w:tc>
          <w:tcPr>
            <w:tcW w:type="dxa" w:w="24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Peran</w:t>
            </w:r>
          </w:p>
        </w:tc>
        <w:tc>
          <w:tcPr>
            <w:tcW w:type="dxa" w:w="28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Unit Organisasi ELI</w:t>
            </w:r>
          </w:p>
        </w:tc>
        <w:tc>
          <w:tcPr>
            <w:tcW w:type="dxa" w:w="3472"/>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Tanggung Jawab AI</w:t>
            </w:r>
          </w:p>
        </w:tc>
      </w:tr>
      <w:tr>
        <w:tc>
          <w:tcPr>
            <w:tcW w:type="dxa" w:w="4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FFFFFF"/>
                <w:sz w:val="20"/>
                <w:szCs w:val="20"/>
              </w:rPr>
              <w:t xml:space="preserve">1</w:t>
            </w:r>
          </w:p>
        </w:tc>
        <w:tc>
          <w:tcPr>
            <w:tcW w:type="dxa" w:w="24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Board-Level Oversight</w:t>
            </w:r>
          </w:p>
        </w:tc>
        <w:tc>
          <w:tcPr>
            <w:tcW w:type="dxa" w:w="2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Komite Pemantau Risiko (Board of Commissioners)</w:t>
            </w:r>
          </w:p>
        </w:tc>
        <w:tc>
          <w:tcPr>
            <w:tcW w:type="dxa" w:w="3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Oversight strategis terhadap risiko AI material, termasuk risiko yang dapat memengaruhi ketahanan perusahaan atau kepatuhan regulasi</w:t>
            </w:r>
          </w:p>
        </w:tc>
      </w:tr>
      <w:tr>
        <w:tc>
          <w:tcPr>
            <w:tcW w:type="dxa" w:w="4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FFFFFF"/>
                <w:sz w:val="20"/>
                <w:szCs w:val="20"/>
              </w:rPr>
              <w:t xml:space="preserve">2</w:t>
            </w:r>
          </w:p>
        </w:tc>
        <w:tc>
          <w:tcPr>
            <w:tcW w:type="dxa" w:w="24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AI Governance Owner</w:t>
            </w:r>
          </w:p>
        </w:tc>
        <w:tc>
          <w:tcPr>
            <w:tcW w:type="dxa" w:w="2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Komite Pengelola Teknologi Informasi</w:t>
            </w:r>
          </w:p>
        </w:tc>
        <w:tc>
          <w:tcPr>
            <w:tcW w:type="dxa" w:w="3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Persetujuan kebijakan AI, approval penggunaan AI Kelas A, pelaporan ke Board, penetapan anggaran AI</w:t>
            </w:r>
          </w:p>
        </w:tc>
      </w:tr>
      <w:tr>
        <w:tc>
          <w:tcPr>
            <w:tcW w:type="dxa" w:w="4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FFFFFF"/>
                <w:sz w:val="20"/>
                <w:szCs w:val="20"/>
              </w:rPr>
              <w:t xml:space="preserve">3</w:t>
            </w:r>
          </w:p>
        </w:tc>
        <w:tc>
          <w:tcPr>
            <w:tcW w:type="dxa" w:w="24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AI Policy Owner</w:t>
            </w:r>
          </w:p>
        </w:tc>
        <w:tc>
          <w:tcPr>
            <w:tcW w:type="dxa" w:w="2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IT Security &amp; Governance (Technology &amp; Information Directorate)</w:t>
            </w:r>
          </w:p>
        </w:tc>
        <w:tc>
          <w:tcPr>
            <w:tcW w:type="dxa" w:w="3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Membuat, memelihara, dan menegakkan AI AUP dan framework ini. Review dan approval teknis setiap penggunaan AI baru. Monitoring dan incident response.</w:t>
            </w:r>
          </w:p>
        </w:tc>
      </w:tr>
      <w:tr>
        <w:tc>
          <w:tcPr>
            <w:tcW w:type="dxa" w:w="4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FFFFFF"/>
                <w:sz w:val="20"/>
                <w:szCs w:val="20"/>
              </w:rPr>
              <w:t xml:space="preserve">4</w:t>
            </w:r>
          </w:p>
        </w:tc>
        <w:tc>
          <w:tcPr>
            <w:tcW w:type="dxa" w:w="24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Risk &amp; Compliance</w:t>
            </w:r>
          </w:p>
        </w:tc>
        <w:tc>
          <w:tcPr>
            <w:tcW w:type="dxa" w:w="2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Risk Management &amp; Legal-Compliance (Compliance Directorate)</w:t>
            </w:r>
          </w:p>
        </w:tc>
        <w:tc>
          <w:tcPr>
            <w:tcW w:type="dxa" w:w="3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TPRM vendor AI, DPIA, review DPA, kepatuhan UU PDP, pelaporan ke OJK/Kominfo, System &amp; Procedure untuk AI</w:t>
            </w:r>
          </w:p>
        </w:tc>
      </w:tr>
      <w:tr>
        <w:tc>
          <w:tcPr>
            <w:tcW w:type="dxa" w:w="4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FFFFFF"/>
                <w:sz w:val="20"/>
                <w:szCs w:val="20"/>
              </w:rPr>
              <w:t xml:space="preserve">5</w:t>
            </w:r>
          </w:p>
        </w:tc>
        <w:tc>
          <w:tcPr>
            <w:tcW w:type="dxa" w:w="24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Data Governance</w:t>
            </w:r>
          </w:p>
        </w:tc>
        <w:tc>
          <w:tcPr>
            <w:tcW w:type="dxa" w:w="2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Data Management &amp; Data Analysis/APML (Digital Solution Development)</w:t>
            </w:r>
          </w:p>
        </w:tc>
        <w:tc>
          <w:tcPr>
            <w:tcW w:type="dxa" w:w="3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Klasifikasi data, katalog data, kebijakan kualitas data untuk AI, standar data sintetis untuk testing, oversight model AI internal</w:t>
            </w:r>
          </w:p>
        </w:tc>
      </w:tr>
      <w:tr>
        <w:tc>
          <w:tcPr>
            <w:tcW w:type="dxa" w:w="4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FFFFFF"/>
                <w:sz w:val="20"/>
                <w:szCs w:val="20"/>
              </w:rPr>
              <w:t xml:space="preserve">6</w:t>
            </w:r>
          </w:p>
        </w:tc>
        <w:tc>
          <w:tcPr>
            <w:tcW w:type="dxa" w:w="24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AI Implementation</w:t>
            </w:r>
          </w:p>
        </w:tc>
        <w:tc>
          <w:tcPr>
            <w:tcW w:type="dxa" w:w="2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Development Security Operation &amp; Apps Development</w:t>
            </w:r>
          </w:p>
        </w:tc>
        <w:tc>
          <w:tcPr>
            <w:tcW w:type="dxa" w:w="3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Implementasi teknis, integrasi AI ke sistem core, DevSecOps untuk AI, security testing model AI</w:t>
            </w:r>
          </w:p>
        </w:tc>
      </w:tr>
      <w:tr>
        <w:tc>
          <w:tcPr>
            <w:tcW w:type="dxa" w:w="4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FFFFFF"/>
                <w:sz w:val="20"/>
                <w:szCs w:val="20"/>
              </w:rPr>
              <w:t xml:space="preserve">7</w:t>
            </w:r>
          </w:p>
        </w:tc>
        <w:tc>
          <w:tcPr>
            <w:tcW w:type="dxa" w:w="24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Business AI Champions</w:t>
            </w:r>
          </w:p>
        </w:tc>
        <w:tc>
          <w:tcPr>
            <w:tcW w:type="dxa" w:w="2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Business Analyst per Direktorat</w:t>
            </w:r>
          </w:p>
        </w:tc>
        <w:tc>
          <w:tcPr>
            <w:tcW w:type="dxa" w:w="3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Identifikasi use case AI di unit bisnis, sosialisasi AUP di unit masing-masing, koordinasi dengan IT Security untuk proses approval</w:t>
            </w:r>
          </w:p>
        </w:tc>
      </w:tr>
      <w:tr>
        <w:tc>
          <w:tcPr>
            <w:tcW w:type="dxa" w:w="4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FFFFFF"/>
                <w:sz w:val="20"/>
                <w:szCs w:val="20"/>
              </w:rPr>
              <w:t xml:space="preserve">8</w:t>
            </w:r>
          </w:p>
        </w:tc>
        <w:tc>
          <w:tcPr>
            <w:tcW w:type="dxa" w:w="24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HR &amp; Capability Building</w:t>
            </w:r>
          </w:p>
        </w:tc>
        <w:tc>
          <w:tcPr>
            <w:tcW w:type="dxa" w:w="2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People Development (Human Capital Directorate)</w:t>
            </w:r>
          </w:p>
        </w:tc>
        <w:tc>
          <w:tcPr>
            <w:tcW w:type="dxa" w:w="3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Program AI literacy untuk seluruh karyawan, onboarding AI AUP untuk pengguna baru, pelatihan responsible AI</w:t>
            </w:r>
          </w:p>
        </w:tc>
      </w:tr>
      <w:tr>
        <w:tc>
          <w:tcPr>
            <w:tcW w:type="dxa" w:w="4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FFFFFF"/>
                <w:sz w:val="20"/>
                <w:szCs w:val="20"/>
              </w:rPr>
              <w:t xml:space="preserve">9</w:t>
            </w:r>
          </w:p>
        </w:tc>
        <w:tc>
          <w:tcPr>
            <w:tcW w:type="dxa" w:w="24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Audit &amp; Assurance</w:t>
            </w:r>
          </w:p>
        </w:tc>
        <w:tc>
          <w:tcPr>
            <w:tcW w:type="dxa" w:w="2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Internal Audit (langsung di bawah President Director)</w:t>
            </w:r>
          </w:p>
        </w:tc>
        <w:tc>
          <w:tcPr>
            <w:tcW w:type="dxa" w:w="3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Audit kepatuhan AI AUP dan framework ini, review insiden AI, audit independen model AI Kelas A/B, pelaporan ke Komite Audit</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5.2 Rapat &amp; Pelaporan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72"/>
      </w:tblGrid>
      <w:tr>
        <w:tc>
          <w:tcPr>
            <w:tcW w:type="dxa" w:w="22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Forum</w:t>
            </w:r>
          </w:p>
        </w:tc>
        <w:tc>
          <w:tcPr>
            <w:tcW w:type="dxa" w:w="22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Peserta</w:t>
            </w:r>
          </w:p>
        </w:tc>
        <w:tc>
          <w:tcPr>
            <w:tcW w:type="dxa" w:w="22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Frekuensi</w:t>
            </w:r>
          </w:p>
        </w:tc>
        <w:tc>
          <w:tcPr>
            <w:tcW w:type="dxa" w:w="2472"/>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Output</w:t>
            </w:r>
          </w:p>
        </w:tc>
      </w:tr>
      <w:tr>
        <w:tc>
          <w:tcPr>
            <w:tcW w:type="dxa" w:w="2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AI Governance Review</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Komite TI + IT Security + Risk Mgmt</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Triwulanan</w:t>
            </w:r>
          </w:p>
        </w:tc>
        <w:tc>
          <w:tcPr>
            <w:tcW w:type="dxa" w:w="2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Laporan status AI, approval use case baru</w:t>
            </w:r>
          </w:p>
        </w:tc>
      </w:tr>
      <w:tr>
        <w:tc>
          <w:tcPr>
            <w:tcW w:type="dxa" w:w="2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AI Incident Review</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IT Security + Risk + Legal + CISO</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Setiap insiden</w:t>
            </w:r>
          </w:p>
        </w:tc>
        <w:tc>
          <w:tcPr>
            <w:tcW w:type="dxa" w:w="2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Laporan insiden, tindakan korektif</w:t>
            </w:r>
          </w:p>
        </w:tc>
      </w:tr>
      <w:tr>
        <w:tc>
          <w:tcPr>
            <w:tcW w:type="dxa" w:w="2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Annual AI Audit</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Internal Audit + IT Security + Komite Audit</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Tahunan</w:t>
            </w:r>
          </w:p>
        </w:tc>
        <w:tc>
          <w:tcPr>
            <w:tcW w:type="dxa" w:w="2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Laporan audit AI, rekomendasi perbaikan</w:t>
            </w:r>
          </w:p>
        </w:tc>
      </w:tr>
      <w:tr>
        <w:tc>
          <w:tcPr>
            <w:tcW w:type="dxa" w:w="22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Laporan ke Komite Pemantau Risiko</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Komite TI (menyampaikan kepada Board)</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Semesteran</w:t>
            </w:r>
          </w:p>
        </w:tc>
        <w:tc>
          <w:tcPr>
            <w:tcW w:type="dxa" w:w="24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Executive summary risiko AI kepada Board</w:t>
            </w:r>
          </w:p>
        </w:tc>
      </w:tr>
    </w:tbl>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B3A6B"/>
          <w:sz w:val="32"/>
          <w:szCs w:val="32"/>
        </w:rPr>
        <w:t xml:space="preserve">BAB VI — PROSES APPROVAL PENGGUNAAN AI BARU</w:t>
      </w:r>
    </w:p>
    <w:p>
      <w:pPr>
        <w:spacing w:after="40" w:before="40"/>
      </w:pPr>
      <w:r>
        <w:t xml:space="preserve"/>
      </w:r>
    </w:p>
    <w:p>
      <w:pPr>
        <w:spacing w:after="80" w:before="80" w:line="280"/>
        <w:jc w:val="both"/>
      </w:pPr>
      <w:r>
        <w:rPr>
          <w:rFonts w:ascii="Arial" w:cs="Arial" w:eastAsia="Arial" w:hAnsi="Arial"/>
          <w:color w:val="1A1A1A"/>
          <w:sz w:val="22"/>
          <w:szCs w:val="22"/>
        </w:rPr>
        <w:t xml:space="preserve">Setiap penggunaan AI yang baru atau perubahan material atas penggunaan AI yang sudah berjalan wajib melalui proses approval berikut sebelum go-live. Proses ini bersifat sekuensial — setiap tahap harus selesai sebelum melanjutkan ke tahap berikutnya.</w:t>
      </w:r>
    </w:p>
    <w:p>
      <w:pPr>
        <w:spacing w:after="60" w:before="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000"/>
        <w:gridCol w:w="2000"/>
        <w:gridCol w:w="1872"/>
      </w:tblGrid>
      <w:tr>
        <w:tc>
          <w:tcPr>
            <w:tcW w:type="dxa" w:w="6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Step</w:t>
            </w:r>
          </w:p>
        </w:tc>
        <w:tc>
          <w:tcPr>
            <w:tcW w:type="dxa" w:w="26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Aktivitas</w:t>
            </w:r>
          </w:p>
        </w:tc>
        <w:tc>
          <w:tcPr>
            <w:tcW w:type="dxa" w:w="20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PIC</w:t>
            </w:r>
          </w:p>
        </w:tc>
        <w:tc>
          <w:tcPr>
            <w:tcW w:type="dxa" w:w="20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Output / Dokumen</w:t>
            </w:r>
          </w:p>
        </w:tc>
        <w:tc>
          <w:tcPr>
            <w:tcW w:type="dxa" w:w="1872"/>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Kelas yang Wajib</w:t>
            </w:r>
          </w:p>
        </w:tc>
      </w:tr>
      <w:tr>
        <w:tc>
          <w:tcPr>
            <w:tcW w:type="dxa" w:w="6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1B3A6B"/>
                <w:sz w:val="20"/>
                <w:szCs w:val="20"/>
              </w:rPr>
              <w:t xml:space="preserve">1</w:t>
            </w:r>
          </w:p>
        </w:tc>
        <w:tc>
          <w:tcPr>
            <w:tcW w:type="dxa" w:w="26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Identifikasi use case &amp; isi AI Use Case Form. Tentukan kelas risiko (A/B/C) awal.</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Unit Bisnis Pemohon</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AI Use Case Form</w:t>
            </w:r>
          </w:p>
        </w:tc>
        <w:tc>
          <w:tcPr>
            <w:tcW w:type="dxa" w:w="18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center"/>
            </w:pPr>
            <w:r>
              <w:rPr>
                <w:rFonts w:ascii="Arial" w:cs="Arial" w:eastAsia="Arial" w:hAnsi="Arial"/>
                <w:b w:val="false"/>
                <w:bCs w:val="false"/>
                <w:i w:val="false"/>
                <w:iCs w:val="false"/>
                <w:color w:val="1A1A1A"/>
                <w:sz w:val="20"/>
                <w:szCs w:val="20"/>
              </w:rPr>
              <w:t xml:space="preserve">A, B, C</w:t>
            </w:r>
          </w:p>
        </w:tc>
      </w:tr>
      <w:tr>
        <w:tc>
          <w:tcPr>
            <w:tcW w:type="dxa" w:w="6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1B3A6B"/>
                <w:sz w:val="20"/>
                <w:szCs w:val="20"/>
              </w:rPr>
              <w:t xml:space="preserve">2</w:t>
            </w:r>
          </w:p>
        </w:tc>
        <w:tc>
          <w:tcPr>
            <w:tcW w:type="dxa" w:w="26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IT Security melakukan Security Assessment terhadap vendor/tools AI yang diusulkan.</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IT Security &amp; Governance</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IT Security Assessment Report</w:t>
            </w:r>
          </w:p>
        </w:tc>
        <w:tc>
          <w:tcPr>
            <w:tcW w:type="dxa" w:w="18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center"/>
            </w:pPr>
            <w:r>
              <w:rPr>
                <w:rFonts w:ascii="Arial" w:cs="Arial" w:eastAsia="Arial" w:hAnsi="Arial"/>
                <w:b w:val="false"/>
                <w:bCs w:val="false"/>
                <w:i w:val="false"/>
                <w:iCs w:val="false"/>
                <w:color w:val="1A1A1A"/>
                <w:sz w:val="20"/>
                <w:szCs w:val="20"/>
              </w:rPr>
              <w:t xml:space="preserve">A, B, C</w:t>
            </w:r>
          </w:p>
        </w:tc>
      </w:tr>
      <w:tr>
        <w:tc>
          <w:tcPr>
            <w:tcW w:type="dxa" w:w="6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1B3A6B"/>
                <w:sz w:val="20"/>
                <w:szCs w:val="20"/>
              </w:rPr>
              <w:t xml:space="preserve">3</w:t>
            </w:r>
          </w:p>
        </w:tc>
        <w:tc>
          <w:tcPr>
            <w:tcW w:type="dxa" w:w="26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TPRM (Third-Party Risk Management) terhadap vendor AI. Termasuk review kebijakan privasi, sertifikasi keamanan, dan kemampuan DPA.</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Risk Management / IT Vendor Mgmt</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TPRM Report</w:t>
            </w:r>
          </w:p>
        </w:tc>
        <w:tc>
          <w:tcPr>
            <w:tcW w:type="dxa" w:w="18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center"/>
            </w:pPr>
            <w:r>
              <w:rPr>
                <w:rFonts w:ascii="Arial" w:cs="Arial" w:eastAsia="Arial" w:hAnsi="Arial"/>
                <w:b w:val="false"/>
                <w:bCs w:val="false"/>
                <w:i w:val="false"/>
                <w:iCs w:val="false"/>
                <w:color w:val="1A1A1A"/>
                <w:sz w:val="20"/>
                <w:szCs w:val="20"/>
              </w:rPr>
              <w:t xml:space="preserve">A, B (dan C jika ada transfer data)</w:t>
            </w:r>
          </w:p>
        </w:tc>
      </w:tr>
      <w:tr>
        <w:tc>
          <w:tcPr>
            <w:tcW w:type="dxa" w:w="6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1B3A6B"/>
                <w:sz w:val="20"/>
                <w:szCs w:val="20"/>
              </w:rPr>
              <w:t xml:space="preserve">4</w:t>
            </w:r>
          </w:p>
        </w:tc>
        <w:tc>
          <w:tcPr>
            <w:tcW w:type="dxa" w:w="26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DPIA (Data Protection Impact Assessment) jika use case berpotensi memproses data pribadi.</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Risk Management + Legal</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DPIA Report</w:t>
            </w:r>
          </w:p>
        </w:tc>
        <w:tc>
          <w:tcPr>
            <w:tcW w:type="dxa" w:w="18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center"/>
            </w:pPr>
            <w:r>
              <w:rPr>
                <w:rFonts w:ascii="Arial" w:cs="Arial" w:eastAsia="Arial" w:hAnsi="Arial"/>
                <w:b w:val="false"/>
                <w:bCs w:val="false"/>
                <w:i w:val="false"/>
                <w:iCs w:val="false"/>
                <w:color w:val="1A1A1A"/>
                <w:sz w:val="20"/>
                <w:szCs w:val="20"/>
              </w:rPr>
              <w:t xml:space="preserve">A (wajib), B (jika ada data pribadi)</w:t>
            </w:r>
          </w:p>
        </w:tc>
      </w:tr>
      <w:tr>
        <w:tc>
          <w:tcPr>
            <w:tcW w:type="dxa" w:w="6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1B3A6B"/>
                <w:sz w:val="20"/>
                <w:szCs w:val="20"/>
              </w:rPr>
              <w:t xml:space="preserve">5</w:t>
            </w:r>
          </w:p>
        </w:tc>
        <w:tc>
          <w:tcPr>
            <w:tcW w:type="dxa" w:w="26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Negosiasi dan penandatanganan DPA dengan vendor AI.</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Legal &amp; Compliance</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DPA yang ditandatangani</w:t>
            </w:r>
          </w:p>
        </w:tc>
        <w:tc>
          <w:tcPr>
            <w:tcW w:type="dxa" w:w="18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center"/>
            </w:pPr>
            <w:r>
              <w:rPr>
                <w:rFonts w:ascii="Arial" w:cs="Arial" w:eastAsia="Arial" w:hAnsi="Arial"/>
                <w:b w:val="false"/>
                <w:bCs w:val="false"/>
                <w:i w:val="false"/>
                <w:iCs w:val="false"/>
                <w:color w:val="1A1A1A"/>
                <w:sz w:val="20"/>
                <w:szCs w:val="20"/>
              </w:rPr>
              <w:t xml:space="preserve">A (wajib), B (jika ada data pribadi), C (jika ada transfer data pribadi)</w:t>
            </w:r>
          </w:p>
        </w:tc>
      </w:tr>
      <w:tr>
        <w:tc>
          <w:tcPr>
            <w:tcW w:type="dxa" w:w="6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1B3A6B"/>
                <w:sz w:val="20"/>
                <w:szCs w:val="20"/>
              </w:rPr>
              <w:t xml:space="preserve">6</w:t>
            </w:r>
          </w:p>
        </w:tc>
        <w:tc>
          <w:tcPr>
            <w:tcW w:type="dxa" w:w="26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Notifikasi ke Kominfo untuk transfer data lintas batas (jika ada).</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Legal &amp; Compliance + Risk</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Bukti notifikasi Kominfo</w:t>
            </w:r>
          </w:p>
        </w:tc>
        <w:tc>
          <w:tcPr>
            <w:tcW w:type="dxa" w:w="18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center"/>
            </w:pPr>
            <w:r>
              <w:rPr>
                <w:rFonts w:ascii="Arial" w:cs="Arial" w:eastAsia="Arial" w:hAnsi="Arial"/>
                <w:b w:val="false"/>
                <w:bCs w:val="false"/>
                <w:i w:val="false"/>
                <w:iCs w:val="false"/>
                <w:color w:val="1A1A1A"/>
                <w:sz w:val="20"/>
                <w:szCs w:val="20"/>
              </w:rPr>
              <w:t xml:space="preserve">A, B (jika cross-border)</w:t>
            </w:r>
          </w:p>
        </w:tc>
      </w:tr>
      <w:tr>
        <w:tc>
          <w:tcPr>
            <w:tcW w:type="dxa" w:w="6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1B3A6B"/>
                <w:sz w:val="20"/>
                <w:szCs w:val="20"/>
              </w:rPr>
              <w:t xml:space="preserve">7</w:t>
            </w:r>
          </w:p>
        </w:tc>
        <w:tc>
          <w:tcPr>
            <w:tcW w:type="dxa" w:w="26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Persetujuan formal dari Komite TI (Kelas A &amp; B) atau IT Security (Kelas C).</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Komite TI / IT Security</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Notulen Komite / Approval Letter</w:t>
            </w:r>
          </w:p>
        </w:tc>
        <w:tc>
          <w:tcPr>
            <w:tcW w:type="dxa" w:w="18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center"/>
            </w:pPr>
            <w:r>
              <w:rPr>
                <w:rFonts w:ascii="Arial" w:cs="Arial" w:eastAsia="Arial" w:hAnsi="Arial"/>
                <w:b w:val="false"/>
                <w:bCs w:val="false"/>
                <w:i w:val="false"/>
                <w:iCs w:val="false"/>
                <w:color w:val="1A1A1A"/>
                <w:sz w:val="20"/>
                <w:szCs w:val="20"/>
              </w:rPr>
              <w:t xml:space="preserve">A, B (Komite TI); C (IT Security)</w:t>
            </w:r>
          </w:p>
        </w:tc>
      </w:tr>
      <w:tr>
        <w:tc>
          <w:tcPr>
            <w:tcW w:type="dxa" w:w="6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1B3A6B"/>
                <w:sz w:val="20"/>
                <w:szCs w:val="20"/>
              </w:rPr>
              <w:t xml:space="preserve">8</w:t>
            </w:r>
          </w:p>
        </w:tc>
        <w:tc>
          <w:tcPr>
            <w:tcW w:type="dxa" w:w="26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Training wajib dan penandatanganan AI AUP oleh semua pengguna.</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IT Security + People Development</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Bukti training + tanda tangan AUP</w:t>
            </w:r>
          </w:p>
        </w:tc>
        <w:tc>
          <w:tcPr>
            <w:tcW w:type="dxa" w:w="18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center"/>
            </w:pPr>
            <w:r>
              <w:rPr>
                <w:rFonts w:ascii="Arial" w:cs="Arial" w:eastAsia="Arial" w:hAnsi="Arial"/>
                <w:b w:val="false"/>
                <w:bCs w:val="false"/>
                <w:i w:val="false"/>
                <w:iCs w:val="false"/>
                <w:color w:val="1A1A1A"/>
                <w:sz w:val="20"/>
                <w:szCs w:val="20"/>
              </w:rPr>
              <w:t xml:space="preserve">A, B, C</w:t>
            </w:r>
          </w:p>
        </w:tc>
      </w:tr>
      <w:tr>
        <w:tc>
          <w:tcPr>
            <w:tcW w:type="dxa" w:w="6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1B3A6B"/>
                <w:sz w:val="20"/>
                <w:szCs w:val="20"/>
              </w:rPr>
              <w:t xml:space="preserve">9</w:t>
            </w:r>
          </w:p>
        </w:tc>
        <w:tc>
          <w:tcPr>
            <w:tcW w:type="dxa" w:w="26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Go-live dengan monitoring aktif. Konfigurasikan SIEM/logging untuk use case baru.</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IT Security + Infrastructure</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Dashboard monitoring aktif</w:t>
            </w:r>
          </w:p>
        </w:tc>
        <w:tc>
          <w:tcPr>
            <w:tcW w:type="dxa" w:w="18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center"/>
            </w:pPr>
            <w:r>
              <w:rPr>
                <w:rFonts w:ascii="Arial" w:cs="Arial" w:eastAsia="Arial" w:hAnsi="Arial"/>
                <w:b w:val="false"/>
                <w:bCs w:val="false"/>
                <w:i w:val="false"/>
                <w:iCs w:val="false"/>
                <w:color w:val="1A1A1A"/>
                <w:sz w:val="20"/>
                <w:szCs w:val="20"/>
              </w:rPr>
              <w:t xml:space="preserve">A, B, C</w:t>
            </w:r>
          </w:p>
        </w:tc>
      </w:tr>
    </w:tbl>
    <w:p>
      <w:pPr>
        <w:spacing w:after="80" w:before="80"/>
      </w:pPr>
      <w:r>
        <w:t xml:space="preserve"/>
      </w:r>
    </w:p>
    <w:p>
      <w:pPr>
        <w:pBdr>
          <w:left w:val="single" w:color="00695C" w:sz="14" w:space="10"/>
        </w:pBdr>
        <w:shd w:fill="E0F2F1" w:val="clear"/>
        <w:spacing w:after="120" w:before="120" w:line="276"/>
        <w:ind w:left="400"/>
      </w:pPr>
      <w:r>
        <w:rPr>
          <w:rFonts w:ascii="Arial" w:cs="Arial" w:eastAsia="Arial" w:hAnsi="Arial"/>
          <w:i/>
          <w:iCs/>
          <w:color w:val="1A1A1A"/>
          <w:sz w:val="21"/>
          <w:szCs w:val="21"/>
        </w:rPr>
        <w:t xml:space="preserve">FAST-TRACK (Kelas C): Untuk use case Kelas C yang sudah ada vendor AI yang disetujui (contoh: AI Tools (Enterprise) setelah prasyarat awal dipenuhi), Step 3-6 dapat digabungkan menjadi satu review ringkas oleh IT Security dan Risk Management, tanpa perlu melalui Komite TI. Target waktu fast-track: maksimal 10 hari kerja.</w:t>
      </w:r>
    </w:p>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B3A6B"/>
          <w:sz w:val="32"/>
          <w:szCs w:val="32"/>
        </w:rPr>
        <w:t xml:space="preserve">BAB VII — KLASIFIKASI DATA &amp; PANDUAN INPUT AI</w:t>
      </w:r>
    </w:p>
    <w:p>
      <w:pPr>
        <w:spacing w:after="40" w:before="40"/>
      </w:pPr>
      <w:r>
        <w:t xml:space="preserve"/>
      </w:r>
    </w:p>
    <w:p>
      <w:pPr>
        <w:spacing w:after="80" w:before="80" w:line="280"/>
        <w:jc w:val="both"/>
      </w:pPr>
      <w:r>
        <w:rPr>
          <w:rFonts w:ascii="Arial" w:cs="Arial" w:eastAsia="Arial" w:hAnsi="Arial"/>
          <w:color w:val="1A1A1A"/>
          <w:sz w:val="22"/>
          <w:szCs w:val="22"/>
        </w:rPr>
        <w:t xml:space="preserve">Pemahaman tentang klasifikasi data adalah kunci dalam penggunaan AI yang aman. Setiap karyawan wajib memahami dan menerapkan panduan berikut sebelum menginput data apapun ke tools AI.</w:t>
      </w:r>
    </w:p>
    <w:p>
      <w:pPr>
        <w:spacing w:after="60" w:before="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1600"/>
        <w:gridCol w:w="1272"/>
      </w:tblGrid>
      <w:tr>
        <w:tc>
          <w:tcPr>
            <w:tcW w:type="dxa" w:w="14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Kelas</w:t>
            </w:r>
          </w:p>
        </w:tc>
        <w:tc>
          <w:tcPr>
            <w:tcW w:type="dxa" w:w="22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Definisi</w:t>
            </w:r>
          </w:p>
        </w:tc>
        <w:tc>
          <w:tcPr>
            <w:tcW w:type="dxa" w:w="26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Contoh Data</w:t>
            </w:r>
          </w:p>
        </w:tc>
        <w:tc>
          <w:tcPr>
            <w:tcW w:type="dxa" w:w="16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Boleh Diinput ke AI?</w:t>
            </w:r>
          </w:p>
        </w:tc>
        <w:tc>
          <w:tcPr>
            <w:tcW w:type="dxa" w:w="1272"/>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Catatan Khusus</w:t>
            </w:r>
          </w:p>
        </w:tc>
      </w:tr>
      <w:tr>
        <w:tc>
          <w:tcPr>
            <w:tcW w:type="dxa" w:w="1400"/>
            <w:gridSpan w:val="1"/>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375623"/>
                <w:sz w:val="22"/>
                <w:szCs w:val="22"/>
              </w:rPr>
              <w:t xml:space="preserve">PUBLIC</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Informasi yang sudah tersedia untuk umum dan tidak menimbulkan risiko jika diketahui pihak ketiga</w:t>
            </w:r>
          </w:p>
        </w:tc>
        <w:tc>
          <w:tcPr>
            <w:tcW w:type="dxa" w:w="26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Regulasi OJK, berita industri asuransi, spesifikasi teknis publik, dokumentasi API publik</w:t>
            </w:r>
          </w:p>
        </w:tc>
        <w:tc>
          <w:tcPr>
            <w:tcW w:type="dxa" w:w="1600"/>
            <w:gridSpan w:val="1"/>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375623"/>
                <w:sz w:val="20"/>
                <w:szCs w:val="20"/>
              </w:rPr>
              <w:t xml:space="preserve">✅ BOLEH TANPA BATASAN</w:t>
            </w:r>
          </w:p>
        </w:tc>
        <w:tc>
          <w:tcPr>
            <w:tcW w:type="dxa" w:w="1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center"/>
            </w:pPr>
            <w:r>
              <w:rPr>
                <w:rFonts w:ascii="Arial" w:cs="Arial" w:eastAsia="Arial" w:hAnsi="Arial"/>
                <w:b w:val="false"/>
                <w:bCs w:val="false"/>
                <w:i w:val="false"/>
                <w:iCs w:val="false"/>
                <w:color w:val="1A1A1A"/>
                <w:sz w:val="20"/>
                <w:szCs w:val="20"/>
              </w:rPr>
              <w:t xml:space="preserve">—</w:t>
            </w:r>
          </w:p>
        </w:tc>
      </w:tr>
      <w:tr>
        <w:tc>
          <w:tcPr>
            <w:tcW w:type="dxa" w:w="14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2E75B6"/>
                <w:sz w:val="22"/>
                <w:szCs w:val="22"/>
              </w:rPr>
              <w:t xml:space="preserve">INTERNAL</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Informasi yang digunakan dalam operasional internal dan tidak ditujukan untuk publik, namun tidak bersifat rahasia</w:t>
            </w:r>
          </w:p>
        </w:tc>
        <w:tc>
          <w:tcPr>
            <w:tcW w:type="dxa" w:w="26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User story, pseudocode, flow diagram, template dokumen internal, prosedur kerja, draft kebijakan</w:t>
            </w:r>
          </w:p>
        </w:tc>
        <w:tc>
          <w:tcPr>
            <w:tcW w:type="dxa" w:w="16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2E75B6"/>
                <w:sz w:val="20"/>
                <w:szCs w:val="20"/>
              </w:rPr>
              <w:t xml:space="preserve">✅ BOLEH (dengan batasan)</w:t>
            </w:r>
          </w:p>
        </w:tc>
        <w:tc>
          <w:tcPr>
            <w:tcW w:type="dxa" w:w="1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Hindari nama sistem produksi spesifik yang bersifat strategis</w:t>
            </w:r>
          </w:p>
        </w:tc>
      </w:tr>
      <w:tr>
        <w:tc>
          <w:tcPr>
            <w:tcW w:type="dxa" w:w="1400"/>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E26B0A"/>
                <w:sz w:val="22"/>
                <w:szCs w:val="22"/>
              </w:rPr>
              <w:t xml:space="preserve">CONFIDENTIAL</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Informasi bisnis sensitif yang jika bocor dapat merugikan perusahaan secara material</w:t>
            </w:r>
          </w:p>
        </w:tc>
        <w:tc>
          <w:tcPr>
            <w:tcW w:type="dxa" w:w="26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Source code sistem inti, arsitektur infrastruktur detail, data keuangan internal, rencana bisnis strategis, data aktuaria non-publik</w:t>
            </w:r>
          </w:p>
        </w:tc>
        <w:tc>
          <w:tcPr>
            <w:tcW w:type="dxa" w:w="1600"/>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E26B0A"/>
                <w:sz w:val="20"/>
                <w:szCs w:val="20"/>
              </w:rPr>
              <w:t xml:space="preserve">⚠️ TERBATAS</w:t>
            </w:r>
          </w:p>
        </w:tc>
        <w:tc>
          <w:tcPr>
            <w:tcW w:type="dxa" w:w="1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Hanya abstraksi/pseudocode. Wajib konsultasi IT Security. Tidak boleh full source code atau skema DB production.</w:t>
            </w:r>
          </w:p>
        </w:tc>
      </w:tr>
      <w:tr>
        <w:tc>
          <w:tcPr>
            <w:tcW w:type="dxa" w:w="1400"/>
            <w:gridSpan w:val="1"/>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C00000"/>
                <w:sz w:val="22"/>
                <w:szCs w:val="22"/>
              </w:rPr>
              <w:t xml:space="preserve">RESTRICTED</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Data paling sensitif yang dilindungi regulasi dan kebijakan internal. Akses sangat terbatas.</w:t>
            </w:r>
          </w:p>
        </w:tc>
        <w:tc>
          <w:tcPr>
            <w:tcW w:type="dxa" w:w="26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PII nasabah (NIK, nama, alamat, nomor polis), data medis, data KYC, data keuangan nasabah, kredensial sistem (password, API key, token, sertifikat)</w:t>
            </w:r>
          </w:p>
        </w:tc>
        <w:tc>
          <w:tcPr>
            <w:tcW w:type="dxa" w:w="1600"/>
            <w:gridSpan w:val="1"/>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C00000"/>
                <w:sz w:val="20"/>
                <w:szCs w:val="20"/>
              </w:rPr>
              <w:t xml:space="preserve">🚫 DILARANG KERAS</w:t>
            </w:r>
          </w:p>
        </w:tc>
        <w:tc>
          <w:tcPr>
            <w:tcW w:type="dxa" w:w="1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bCs/>
                <w:i w:val="false"/>
                <w:iCs w:val="false"/>
                <w:color w:val="C00000"/>
                <w:sz w:val="20"/>
                <w:szCs w:val="20"/>
              </w:rPr>
              <w:t xml:space="preserve">Pelanggaran = insiden keamanan. Wajib lapor IT Security dalam 1×24 jam. Tunduk pada sanksi disipliner.</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7.2 Panduan Khusus untuk Tim Technology</w:t>
      </w:r>
    </w:p>
    <w:p>
      <w:pPr>
        <w:pBdr>
          <w:left w:val="single" w:color="2E75B6" w:sz="14" w:space="10"/>
        </w:pBdr>
        <w:shd w:fill="DEEAF1" w:val="clear"/>
        <w:spacing w:after="120" w:before="120" w:line="276"/>
        <w:ind w:left="400"/>
      </w:pPr>
      <w:r>
        <w:rPr>
          <w:rFonts w:ascii="Arial" w:cs="Arial" w:eastAsia="Arial" w:hAnsi="Arial"/>
          <w:i/>
          <w:iCs/>
          <w:color w:val="1A1A1A"/>
          <w:sz w:val="21"/>
          <w:szCs w:val="21"/>
        </w:rPr>
        <w:t xml:space="preserve">Bagian ini khusus untuk Developer, Tech Lead, dan Business Analyst di Technology &amp; Information Directorate.</w:t>
      </w:r>
    </w:p>
    <w:p>
      <w:pPr>
        <w:spacing w:after="60" w:before="60"/>
      </w:pPr>
      <w:r>
        <w:t xml:space="preserve"/>
      </w:r>
    </w:p>
    <w:p>
      <w:pPr>
        <w:pStyle w:val="Heading3"/>
        <w:spacing w:after="80" w:before="200"/>
      </w:pPr>
      <w:r>
        <w:rPr>
          <w:rFonts w:ascii="Arial" w:cs="Arial" w:eastAsia="Arial" w:hAnsi="Arial"/>
          <w:b/>
          <w:bCs/>
          <w:color w:val="595959"/>
          <w:sz w:val="23"/>
          <w:szCs w:val="23"/>
        </w:rPr>
        <w:t xml:space="preserve">7.2.1 Yang Boleh Diinput ke AI Tools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Pseudocode dan abstraksi logika — boleh. Contoh: "Buatkan pseudocode untuk fungsi validasi polis dengan parameter X dan Y"</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User story dan acceptance criteria — boleh. Contoh: "Review user story ini dan usulkan perbaikan acceptance criteria-nya"</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Pertanyaan teknis umum tentang teknologi, framework, atau library yang bersifat publik</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Template dokumen teknis (BRD, SRS, TSD) tanpa data aktual perusahaan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Debugging dengan contoh kode yang sudah di-generalisasi (nama variabel diganti dengan nama dummy)</w:t>
      </w:r>
    </w:p>
    <w:p>
      <w:pPr>
        <w:spacing w:after="60" w:before="60"/>
      </w:pPr>
      <w:r>
        <w:t xml:space="preserve"/>
      </w:r>
    </w:p>
    <w:p>
      <w:pPr>
        <w:pStyle w:val="Heading3"/>
        <w:spacing w:after="80" w:before="200"/>
      </w:pPr>
      <w:r>
        <w:rPr>
          <w:rFonts w:ascii="Arial" w:cs="Arial" w:eastAsia="Arial" w:hAnsi="Arial"/>
          <w:b/>
          <w:bCs/>
          <w:color w:val="595959"/>
          <w:sz w:val="23"/>
          <w:szCs w:val="23"/>
        </w:rPr>
        <w:t xml:space="preserve">7.2.2 Yang TIDAK Boleh Diinput ke AI Tools</w:t>
      </w:r>
    </w:p>
    <w:p>
      <w:pPr>
        <w:pStyle w:val="ListParagraph"/>
        <w:numPr>
          <w:ilvl w:val="0"/>
          <w:numId w:val="2"/>
        </w:numPr>
        <w:spacing w:after="40" w:before="40" w:line="276"/>
      </w:pPr>
      <w:r>
        <w:rPr>
          <w:rFonts w:ascii="Arial" w:cs="Arial" w:eastAsia="Arial" w:hAnsi="Arial"/>
          <w:b w:val="false"/>
          <w:bCs w:val="false"/>
          <w:color w:val="C00000"/>
          <w:sz w:val="22"/>
          <w:szCs w:val="22"/>
        </w:rPr>
        <w:t xml:space="preserve">Source code production system — termasuk kode yang berisi connection string database, URL endpoint internal, atau nama tabel database</w:t>
      </w:r>
    </w:p>
    <w:p>
      <w:pPr>
        <w:pStyle w:val="ListParagraph"/>
        <w:numPr>
          <w:ilvl w:val="0"/>
          <w:numId w:val="2"/>
        </w:numPr>
        <w:spacing w:after="40" w:before="40" w:line="276"/>
      </w:pPr>
      <w:r>
        <w:rPr>
          <w:rFonts w:ascii="Arial" w:cs="Arial" w:eastAsia="Arial" w:hAnsi="Arial"/>
          <w:b w:val="false"/>
          <w:bCs w:val="false"/>
          <w:color w:val="C00000"/>
          <w:sz w:val="22"/>
          <w:szCs w:val="22"/>
        </w:rPr>
        <w:t xml:space="preserve">File konfigurasi (.env, config.yaml, appsettings.json) yang berisi nilai aktual</w:t>
      </w:r>
    </w:p>
    <w:p>
      <w:pPr>
        <w:pStyle w:val="ListParagraph"/>
        <w:numPr>
          <w:ilvl w:val="0"/>
          <w:numId w:val="2"/>
        </w:numPr>
        <w:spacing w:after="40" w:before="40" w:line="276"/>
      </w:pPr>
      <w:r>
        <w:rPr>
          <w:rFonts w:ascii="Arial" w:cs="Arial" w:eastAsia="Arial" w:hAnsi="Arial"/>
          <w:b w:val="false"/>
          <w:bCs w:val="false"/>
          <w:color w:val="C00000"/>
          <w:sz w:val="22"/>
          <w:szCs w:val="22"/>
        </w:rPr>
        <w:t xml:space="preserve">Log file yang belum di-anonymize (log sering mengandung username, IP internal, data transaksi)</w:t>
      </w:r>
    </w:p>
    <w:p>
      <w:pPr>
        <w:pStyle w:val="ListParagraph"/>
        <w:numPr>
          <w:ilvl w:val="0"/>
          <w:numId w:val="2"/>
        </w:numPr>
        <w:spacing w:after="40" w:before="40" w:line="276"/>
      </w:pPr>
      <w:r>
        <w:rPr>
          <w:rFonts w:ascii="Arial" w:cs="Arial" w:eastAsia="Arial" w:hAnsi="Arial"/>
          <w:b w:val="false"/>
          <w:bCs w:val="false"/>
          <w:color w:val="C00000"/>
          <w:sz w:val="22"/>
          <w:szCs w:val="22"/>
        </w:rPr>
        <w:t xml:space="preserve">Skrip SQL atau query yang berisi data aktual atau nama tabel database production</w:t>
      </w:r>
    </w:p>
    <w:p>
      <w:pPr>
        <w:pStyle w:val="ListParagraph"/>
        <w:numPr>
          <w:ilvl w:val="0"/>
          <w:numId w:val="2"/>
        </w:numPr>
        <w:spacing w:after="40" w:before="40" w:line="276"/>
      </w:pPr>
      <w:r>
        <w:rPr>
          <w:rFonts w:ascii="Arial" w:cs="Arial" w:eastAsia="Arial" w:hAnsi="Arial"/>
          <w:b w:val="false"/>
          <w:bCs w:val="false"/>
          <w:color w:val="C00000"/>
          <w:sz w:val="22"/>
          <w:szCs w:val="22"/>
        </w:rPr>
        <w:t xml:space="preserve">API key, token, secret, password, atau nilai kredensial apapun dalam bentuk apapun</w:t>
      </w:r>
    </w:p>
    <w:p>
      <w:pPr>
        <w:pStyle w:val="ListParagraph"/>
        <w:numPr>
          <w:ilvl w:val="0"/>
          <w:numId w:val="2"/>
        </w:numPr>
        <w:spacing w:after="40" w:before="40" w:line="276"/>
      </w:pPr>
      <w:r>
        <w:rPr>
          <w:rFonts w:ascii="Arial" w:cs="Arial" w:eastAsia="Arial" w:hAnsi="Arial"/>
          <w:b w:val="false"/>
          <w:bCs w:val="false"/>
          <w:color w:val="C00000"/>
          <w:sz w:val="22"/>
          <w:szCs w:val="22"/>
        </w:rPr>
        <w:t xml:space="preserve">Data dari database yang di-export secara langsung (CSV, JSON, Excel) yang mengandung data nasabah</w:t>
      </w:r>
    </w:p>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B3A6B"/>
          <w:sz w:val="32"/>
          <w:szCs w:val="32"/>
        </w:rPr>
        <w:t xml:space="preserve">BAB VIII — MANAJEMEN VENDOR AI (TPRM)</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8.1 Daftar AI Tools yang Disetujui</w:t>
      </w:r>
    </w:p>
    <w:p>
      <w:pPr>
        <w:pBdr>
          <w:left w:val="single" w:color="E26B0A" w:sz="14" w:space="10"/>
        </w:pBdr>
        <w:shd w:fill="FFF2CC" w:val="clear"/>
        <w:spacing w:after="120" w:before="120" w:line="276"/>
        <w:ind w:left="400"/>
      </w:pPr>
      <w:r>
        <w:rPr>
          <w:rFonts w:ascii="Arial" w:cs="Arial" w:eastAsia="Arial" w:hAnsi="Arial"/>
          <w:i/>
          <w:iCs/>
          <w:color w:val="1A1A1A"/>
          <w:sz w:val="21"/>
          <w:szCs w:val="21"/>
        </w:rPr>
        <w:t xml:space="preserve">Hanya tools AI yang ada dalam daftar ini yang boleh digunakan untuk keperluan perusahaan. Penggunaan tools AI yang tidak terdaftar dianggap sebagai Shadow IT dan merupakan pelanggaran AI AUP.</w:t>
      </w:r>
    </w:p>
    <w:p>
      <w:pPr>
        <w:spacing w:after="60" w:before="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1200"/>
        <w:gridCol w:w="1200"/>
        <w:gridCol w:w="2272"/>
      </w:tblGrid>
      <w:tr>
        <w:tc>
          <w:tcPr>
            <w:tcW w:type="dxa" w:w="18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Tools AI</w:t>
            </w:r>
          </w:p>
        </w:tc>
        <w:tc>
          <w:tcPr>
            <w:tcW w:type="dxa" w:w="14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Vendor</w:t>
            </w:r>
          </w:p>
        </w:tc>
        <w:tc>
          <w:tcPr>
            <w:tcW w:type="dxa" w:w="12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Kelas Izin</w:t>
            </w:r>
          </w:p>
        </w:tc>
        <w:tc>
          <w:tcPr>
            <w:tcW w:type="dxa" w:w="12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Status</w:t>
            </w:r>
          </w:p>
        </w:tc>
        <w:tc>
          <w:tcPr>
            <w:tcW w:type="dxa" w:w="12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DPA</w:t>
            </w:r>
          </w:p>
        </w:tc>
        <w:tc>
          <w:tcPr>
            <w:tcW w:type="dxa" w:w="2272"/>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Catatan</w:t>
            </w:r>
          </w:p>
        </w:tc>
      </w:tr>
      <w:tr>
        <w:tc>
          <w:tcPr>
            <w:tcW w:type="dxa" w:w="1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AI Tools (Enterprise)</w:t>
            </w:r>
          </w:p>
        </w:tc>
        <w:tc>
          <w:tcPr>
            <w:tcW w:type="dxa" w:w="14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Vendor AI Tools</w:t>
            </w:r>
          </w:p>
        </w:tc>
        <w:tc>
          <w:tcPr>
            <w:tcW w:type="dxa" w:w="1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center"/>
            </w:pPr>
            <w:r>
              <w:rPr>
                <w:rFonts w:ascii="Arial" w:cs="Arial" w:eastAsia="Arial" w:hAnsi="Arial"/>
                <w:b w:val="false"/>
                <w:bCs w:val="false"/>
                <w:i w:val="false"/>
                <w:iCs w:val="false"/>
                <w:color w:val="1A1A1A"/>
                <w:sz w:val="20"/>
                <w:szCs w:val="20"/>
              </w:rPr>
              <w:t xml:space="preserve">C</w:t>
            </w:r>
          </w:p>
        </w:tc>
        <w:tc>
          <w:tcPr>
            <w:tcW w:type="dxa" w:w="1200"/>
            <w:gridSpan w:val="1"/>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375623"/>
                <w:sz w:val="20"/>
                <w:szCs w:val="20"/>
              </w:rPr>
              <w:t xml:space="preserve">Approved*</w:t>
            </w:r>
          </w:p>
        </w:tc>
        <w:tc>
          <w:tcPr>
            <w:tcW w:type="dxa" w:w="1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center"/>
            </w:pPr>
            <w:r>
              <w:rPr>
                <w:rFonts w:ascii="Arial" w:cs="Arial" w:eastAsia="Arial" w:hAnsi="Arial"/>
                <w:b w:val="false"/>
                <w:bCs w:val="false"/>
                <w:i w:val="false"/>
                <w:iCs w:val="false"/>
                <w:color w:val="1A1A1A"/>
                <w:sz w:val="20"/>
                <w:szCs w:val="20"/>
              </w:rPr>
              <w:t xml:space="preserve">Diperlukan</w:t>
            </w:r>
          </w:p>
        </w:tc>
        <w:tc>
          <w:tcPr>
            <w:tcW w:type="dxa" w:w="2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*Berlaku setelah 5 prasyarat IT Security Assessment terpenuhi</w:t>
            </w:r>
          </w:p>
        </w:tc>
      </w:tr>
      <w:tr>
        <w:tc>
          <w:tcPr>
            <w:tcW w:type="dxa" w:w="1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GitHub Copilot</w:t>
            </w:r>
          </w:p>
        </w:tc>
        <w:tc>
          <w:tcPr>
            <w:tcW w:type="dxa" w:w="14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Microsoft / GitHub</w:t>
            </w:r>
          </w:p>
        </w:tc>
        <w:tc>
          <w:tcPr>
            <w:tcW w:type="dxa" w:w="1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center"/>
            </w:pPr>
            <w:r>
              <w:rPr>
                <w:rFonts w:ascii="Arial" w:cs="Arial" w:eastAsia="Arial" w:hAnsi="Arial"/>
                <w:b w:val="false"/>
                <w:bCs w:val="false"/>
                <w:i w:val="false"/>
                <w:iCs w:val="false"/>
                <w:color w:val="1A1A1A"/>
                <w:sz w:val="20"/>
                <w:szCs w:val="20"/>
              </w:rPr>
              <w:t xml:space="preserve">C</w:t>
            </w:r>
          </w:p>
        </w:tc>
        <w:tc>
          <w:tcPr>
            <w:tcW w:type="dxa" w:w="1200"/>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E26B0A"/>
                <w:sz w:val="20"/>
                <w:szCs w:val="20"/>
              </w:rPr>
              <w:t xml:space="preserve">Evaluasi</w:t>
            </w:r>
          </w:p>
        </w:tc>
        <w:tc>
          <w:tcPr>
            <w:tcW w:type="dxa" w:w="1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center"/>
            </w:pPr>
            <w:r>
              <w:rPr>
                <w:rFonts w:ascii="Arial" w:cs="Arial" w:eastAsia="Arial" w:hAnsi="Arial"/>
                <w:b w:val="false"/>
                <w:bCs w:val="false"/>
                <w:i w:val="false"/>
                <w:iCs w:val="false"/>
                <w:color w:val="1A1A1A"/>
                <w:sz w:val="20"/>
                <w:szCs w:val="20"/>
              </w:rPr>
              <w:t xml:space="preserve">Diperlukan</w:t>
            </w:r>
          </w:p>
        </w:tc>
        <w:tc>
          <w:tcPr>
            <w:tcW w:type="dxa" w:w="2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Dalam proses TPRM. Belum diizinkan sebelum TPRM selesai.</w:t>
            </w:r>
          </w:p>
        </w:tc>
      </w:tr>
      <w:tr>
        <w:tc>
          <w:tcPr>
            <w:tcW w:type="dxa" w:w="1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Tools AI lainnya (ChatGPT, Gemini, dsb.)</w:t>
            </w:r>
          </w:p>
        </w:tc>
        <w:tc>
          <w:tcPr>
            <w:tcW w:type="dxa" w:w="14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Berbagai</w:t>
            </w:r>
          </w:p>
        </w:tc>
        <w:tc>
          <w:tcPr>
            <w:tcW w:type="dxa" w:w="1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center"/>
            </w:pPr>
            <w:r>
              <w:rPr>
                <w:rFonts w:ascii="Arial" w:cs="Arial" w:eastAsia="Arial" w:hAnsi="Arial"/>
                <w:b w:val="false"/>
                <w:bCs w:val="false"/>
                <w:i w:val="false"/>
                <w:iCs w:val="false"/>
                <w:color w:val="1A1A1A"/>
                <w:sz w:val="20"/>
                <w:szCs w:val="20"/>
              </w:rPr>
              <w:t xml:space="preserve">—</w:t>
            </w:r>
          </w:p>
        </w:tc>
        <w:tc>
          <w:tcPr>
            <w:tcW w:type="dxa" w:w="1200"/>
            <w:gridSpan w:val="1"/>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C00000"/>
                <w:sz w:val="20"/>
                <w:szCs w:val="20"/>
              </w:rPr>
              <w:t xml:space="preserve">Belum Diizinkan</w:t>
            </w:r>
          </w:p>
        </w:tc>
        <w:tc>
          <w:tcPr>
            <w:tcW w:type="dxa" w:w="1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center"/>
            </w:pPr>
            <w:r>
              <w:rPr>
                <w:rFonts w:ascii="Arial" w:cs="Arial" w:eastAsia="Arial" w:hAnsi="Arial"/>
                <w:b w:val="false"/>
                <w:bCs w:val="false"/>
                <w:i w:val="false"/>
                <w:iCs w:val="false"/>
                <w:color w:val="1A1A1A"/>
                <w:sz w:val="20"/>
                <w:szCs w:val="20"/>
              </w:rPr>
              <w:t xml:space="preserve">Belum ada</w:t>
            </w:r>
          </w:p>
        </w:tc>
        <w:tc>
          <w:tcPr>
            <w:tcW w:type="dxa" w:w="2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Harus melalui proses approval lengkap terlebih dahulu.</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8.2 Kriteria Minimum Vendor AI</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Memiliki sertifikasi SOC 2 Type II atau ISO 27001 yang masih berlaku</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Bersedia menandatangani DPA yang memenuhi ketentuan UU PDP dan SCC untuk transfer data lintas batas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Memiliki kebijakan yang jelas bahwa data pelanggan tidak digunakan untuk melatih model AI tanpa persetujuan eksplisit</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Menyediakan mekanisme notifikasi insiden keamanan dalam waktu maksimal 72 jam</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Memiliki proses penghapusan data yang dapat diverifikasi setelah kontrak berakhir</w:t>
      </w:r>
    </w:p>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B3A6B"/>
          <w:sz w:val="32"/>
          <w:szCs w:val="32"/>
        </w:rPr>
        <w:t xml:space="preserve">BAB IX — MONITORING, AUDIT &amp; INCIDENT RESPONSE</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9.1 Kerangka Monitoring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2872"/>
      </w:tblGrid>
      <w:tr>
        <w:tc>
          <w:tcPr>
            <w:tcW w:type="dxa" w:w="20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Aktivitas Monitoring</w:t>
            </w:r>
          </w:p>
        </w:tc>
        <w:tc>
          <w:tcPr>
            <w:tcW w:type="dxa" w:w="20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PIC</w:t>
            </w:r>
          </w:p>
        </w:tc>
        <w:tc>
          <w:tcPr>
            <w:tcW w:type="dxa" w:w="22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Frekuensi</w:t>
            </w:r>
          </w:p>
        </w:tc>
        <w:tc>
          <w:tcPr>
            <w:tcW w:type="dxa" w:w="2872"/>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Tools &amp; Metode</w:t>
            </w:r>
          </w:p>
        </w:tc>
      </w:tr>
      <w:tr>
        <w:tc>
          <w:tcPr>
            <w:tcW w:type="dxa" w:w="2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Review log akses ke AI tools (network level)</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IT Security</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Mingguan</w:t>
            </w:r>
          </w:p>
        </w:tc>
        <w:tc>
          <w:tcPr>
            <w:tcW w:type="dxa" w:w="28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Wazuh SIEM + proxy logs. Custom rules untuk anomali volume dan akses di luar jam kerja.</w:t>
            </w:r>
          </w:p>
        </w:tc>
      </w:tr>
      <w:tr>
        <w:tc>
          <w:tcPr>
            <w:tcW w:type="dxa" w:w="2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Kepatuhan AI AUP per pengguna</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IT Security + Atasan Langsung</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Triwulanan</w:t>
            </w:r>
          </w:p>
        </w:tc>
        <w:tc>
          <w:tcPr>
            <w:tcW w:type="dxa" w:w="28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Self-assessment kuesioner + spot-check output AI (jika memungkinkan secara hukum)</w:t>
            </w:r>
          </w:p>
        </w:tc>
      </w:tr>
      <w:tr>
        <w:tc>
          <w:tcPr>
            <w:tcW w:type="dxa" w:w="2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Review daftar pengguna aktif AI Tools</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IT / IT Vendor Mgmt</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Bulanan</w:t>
            </w:r>
          </w:p>
        </w:tc>
        <w:tc>
          <w:tcPr>
            <w:tcW w:type="dxa" w:w="28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Admin panel AI Tools (Enterprise). Cross-check dengan data aktif karyawan di HRIS.</w:t>
            </w:r>
          </w:p>
        </w:tc>
      </w:tr>
      <w:tr>
        <w:tc>
          <w:tcPr>
            <w:tcW w:type="dxa" w:w="2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Audit kepatuhan framework AI</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Internal Audit</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Tahunan</w:t>
            </w:r>
          </w:p>
        </w:tc>
        <w:tc>
          <w:tcPr>
            <w:tcW w:type="dxa" w:w="28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Audit berbasis risiko. Pelaporan ke Komite Audit.</w:t>
            </w:r>
          </w:p>
        </w:tc>
      </w:tr>
      <w:tr>
        <w:tc>
          <w:tcPr>
            <w:tcW w:type="dxa" w:w="20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Review dan update framework ini</w:t>
            </w:r>
          </w:p>
        </w:tc>
        <w:tc>
          <w:tcPr>
            <w:tcW w:type="dxa" w:w="2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IT Security &amp; Governance</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Tahunan / jika ada perubahan regulasi</w:t>
            </w:r>
          </w:p>
        </w:tc>
        <w:tc>
          <w:tcPr>
            <w:tcW w:type="dxa" w:w="28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Review dengan melibatkan Risk Management, Legal, dan perwakilan unit bisnis.</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9.2 Prosedur Incident Response untuk Insiden Terkait AI</w:t>
      </w:r>
    </w:p>
    <w:p>
      <w:pPr>
        <w:spacing w:after="80" w:before="60" w:line="280"/>
        <w:jc w:val="both"/>
      </w:pPr>
      <w:r>
        <w:rPr>
          <w:rFonts w:ascii="Arial" w:cs="Arial" w:eastAsia="Arial" w:hAnsi="Arial"/>
          <w:color w:val="1A1A1A"/>
          <w:sz w:val="22"/>
          <w:szCs w:val="22"/>
        </w:rPr>
        <w:t xml:space="preserve">Insiden terkait AI mencakup: dugaan input data RESTRICTED ke AI tools, dugaan prompt injection, anomali penggunaan yang tidak dapat dijelaskan, atau dugaan eksfiltrasi data melalui AI.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3872"/>
      </w:tblGrid>
      <w:tr>
        <w:tc>
          <w:tcPr>
            <w:tcW w:type="dxa" w:w="6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Fase</w:t>
            </w:r>
          </w:p>
        </w:tc>
        <w:tc>
          <w:tcPr>
            <w:tcW w:type="dxa" w:w="22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Nama Fase</w:t>
            </w:r>
          </w:p>
        </w:tc>
        <w:tc>
          <w:tcPr>
            <w:tcW w:type="dxa" w:w="24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Waktu</w:t>
            </w:r>
          </w:p>
        </w:tc>
        <w:tc>
          <w:tcPr>
            <w:tcW w:type="dxa" w:w="3872"/>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Aktivitas</w:t>
            </w:r>
          </w:p>
        </w:tc>
      </w:tr>
      <w:tr>
        <w:tc>
          <w:tcPr>
            <w:tcW w:type="dxa" w:w="600"/>
            <w:gridSpan w:val="1"/>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C00000"/>
                <w:sz w:val="20"/>
                <w:szCs w:val="20"/>
              </w:rPr>
              <w:t xml:space="preserve">1</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Deteksi &amp; Pelaporan</w:t>
            </w:r>
          </w:p>
        </w:tc>
        <w:tc>
          <w:tcPr>
            <w:tcW w:type="dxa" w:w="24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0 – 2 jam sejak ditemukan</w:t>
            </w:r>
          </w:p>
        </w:tc>
        <w:tc>
          <w:tcPr>
            <w:tcW w:type="dxa" w:w="38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Pengguna atau sistem (SIEM alert) melaporkan insiden ke IT Security melalui kanal darurat. IT Security melakukan triage awal untuk menentukan severity.</w:t>
            </w:r>
          </w:p>
        </w:tc>
      </w:tr>
      <w:tr>
        <w:tc>
          <w:tcPr>
            <w:tcW w:type="dxa" w:w="600"/>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E26B0A"/>
                <w:sz w:val="20"/>
                <w:szCs w:val="20"/>
              </w:rPr>
              <w:t xml:space="preserve">2</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Containment</w:t>
            </w:r>
          </w:p>
        </w:tc>
        <w:tc>
          <w:tcPr>
            <w:tcW w:type="dxa" w:w="24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2 – 8 jam</w:t>
            </w:r>
          </w:p>
        </w:tc>
        <w:tc>
          <w:tcPr>
            <w:tcW w:type="dxa" w:w="38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Nonaktifkan akun AI yang terduga terlibat. Preserve log jaringan dan bukti digital. Identifikasi data apa yang berpotensi terekspos.</w:t>
            </w:r>
          </w:p>
        </w:tc>
      </w:tr>
      <w:tr>
        <w:tc>
          <w:tcPr>
            <w:tcW w:type="dxa" w:w="6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1A1A1A"/>
                <w:sz w:val="20"/>
                <w:szCs w:val="20"/>
              </w:rPr>
              <w:t xml:space="preserve">3</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Investigasi</w:t>
            </w:r>
          </w:p>
        </w:tc>
        <w:tc>
          <w:tcPr>
            <w:tcW w:type="dxa" w:w="24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8 – 72 jam</w:t>
            </w:r>
          </w:p>
        </w:tc>
        <w:tc>
          <w:tcPr>
            <w:tcW w:type="dxa" w:w="38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IT Security melakukan analisis forensik digital. Risk Management &amp; Legal menilai dampak terhadap data pribadi dan kewajiban pelaporan regulasi.</w:t>
            </w:r>
          </w:p>
        </w:tc>
      </w:tr>
      <w:tr>
        <w:tc>
          <w:tcPr>
            <w:tcW w:type="dxa" w:w="600"/>
            <w:gridSpan w:val="1"/>
            <w:tcBorders>
              <w:top w:val="single" w:color="D9D9D9" w:sz="1"/>
              <w:left w:val="single" w:color="D9D9D9" w:sz="1"/>
              <w:bottom w:val="single" w:color="D9D9D9" w:sz="1"/>
              <w:right w:val="single" w:color="D9D9D9" w:sz="1"/>
            </w:tcBorders>
            <w:shd w:fill="DEEAF1"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2E75B6"/>
                <w:sz w:val="20"/>
                <w:szCs w:val="20"/>
              </w:rPr>
              <w:t xml:space="preserve">4</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Notifikasi</w:t>
            </w:r>
          </w:p>
        </w:tc>
        <w:tc>
          <w:tcPr>
            <w:tcW w:type="dxa" w:w="24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Dalam 14×24 jam (jika data pribadi terdampak)</w:t>
            </w:r>
          </w:p>
        </w:tc>
        <w:tc>
          <w:tcPr>
            <w:tcW w:type="dxa" w:w="38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Jika terkonfirmasi sebagai data breach: notifikasi ke Kominfo dan OJK (jika relevan) sesuai UU PDP Pasal 46. Koordinasi komunikasi ke nasabah terdampak oleh Legal &amp; Customer Care.</w:t>
            </w:r>
          </w:p>
        </w:tc>
      </w:tr>
      <w:tr>
        <w:tc>
          <w:tcPr>
            <w:tcW w:type="dxa" w:w="600"/>
            <w:gridSpan w:val="1"/>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line="240"/>
              <w:jc w:val="center"/>
            </w:pPr>
            <w:r>
              <w:rPr>
                <w:rFonts w:ascii="Arial" w:cs="Arial" w:eastAsia="Arial" w:hAnsi="Arial"/>
                <w:b/>
                <w:bCs/>
                <w:i w:val="false"/>
                <w:iCs w:val="false"/>
                <w:color w:val="375623"/>
                <w:sz w:val="20"/>
                <w:szCs w:val="20"/>
              </w:rPr>
              <w:t xml:space="preserve">5</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Recovery &amp; Pembelajaran</w:t>
            </w:r>
          </w:p>
        </w:tc>
        <w:tc>
          <w:tcPr>
            <w:tcW w:type="dxa" w:w="24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Setelah investigasi selesai</w:t>
            </w:r>
          </w:p>
        </w:tc>
        <w:tc>
          <w:tcPr>
            <w:tcW w:type="dxa" w:w="38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Pulihkan akses dengan kontrol yang diperkuat. Dokumentasikan insiden dalam register. Lakukan post-mortem dan update kebijakan jika diperlukan. Laporkan ke Internal Audit.</w:t>
            </w:r>
          </w:p>
        </w:tc>
      </w:tr>
    </w:tbl>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B3A6B"/>
          <w:sz w:val="32"/>
          <w:szCs w:val="32"/>
        </w:rPr>
        <w:t xml:space="preserve">BAB X — KEPATUHAN, SANKSI &amp; REVIEW BERKALA</w:t>
      </w:r>
    </w:p>
    <w:p>
      <w:pPr>
        <w:spacing w:after="40" w:before="40"/>
      </w:pPr>
      <w:r>
        <w:t xml:space="preserve"/>
      </w:r>
    </w:p>
    <w:p>
      <w:pPr>
        <w:pStyle w:val="Heading2"/>
        <w:spacing w:after="120" w:before="280"/>
      </w:pPr>
      <w:r>
        <w:rPr>
          <w:rFonts w:ascii="Arial" w:cs="Arial" w:eastAsia="Arial" w:hAnsi="Arial"/>
          <w:b/>
          <w:bCs/>
          <w:color w:val="2E75B6"/>
          <w:sz w:val="26"/>
          <w:szCs w:val="26"/>
        </w:rPr>
        <w:t xml:space="preserve">10.1 Kewajiban Kepatuhan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Seluruh karyawan wajib membaca, memahami, dan menandatangani pernyataan kepatuhan terhadap AI AUP (Lampiran A) sebelum menggunakan tools AI yang disediakan perusahaan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IT Security &amp; Governance berwenang untuk melakukan pemeriksaan kepatuhan sewaktu-waktu</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Setiap unit bisnis wajib menunjuk minimal satu Business AI Champion yang bertanggung jawab atas sosialisasi dan pemantauan kepatuhan AI AUP di unitnya</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10.2 Matriks Sanksi Pelanggaran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200"/>
        <w:gridCol w:w="2272"/>
      </w:tblGrid>
      <w:tr>
        <w:tc>
          <w:tcPr>
            <w:tcW w:type="dxa" w:w="16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Tingkat</w:t>
            </w:r>
          </w:p>
        </w:tc>
        <w:tc>
          <w:tcPr>
            <w:tcW w:type="dxa" w:w="30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Contoh Pelanggaran</w:t>
            </w:r>
          </w:p>
        </w:tc>
        <w:tc>
          <w:tcPr>
            <w:tcW w:type="dxa" w:w="22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Konsekuensi</w:t>
            </w:r>
          </w:p>
        </w:tc>
        <w:tc>
          <w:tcPr>
            <w:tcW w:type="dxa" w:w="2272"/>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PIC Penanganan</w:t>
            </w:r>
          </w:p>
        </w:tc>
      </w:tr>
      <w:tr>
        <w:tc>
          <w:tcPr>
            <w:tcW w:type="dxa" w:w="1600"/>
            <w:gridSpan w:val="1"/>
            <w:tcBorders>
              <w:top w:val="single" w:color="D9D9D9" w:sz="1"/>
              <w:left w:val="single" w:color="D9D9D9" w:sz="1"/>
              <w:bottom w:val="single" w:color="D9D9D9" w:sz="1"/>
              <w:right w:val="single" w:color="D9D9D9" w:sz="1"/>
            </w:tcBorders>
            <w:shd w:fill="E2EFDA"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375623"/>
                <w:sz w:val="20"/>
                <w:szCs w:val="20"/>
              </w:rPr>
              <w:t xml:space="preserve">RINGAN</w:t>
            </w:r>
          </w:p>
        </w:tc>
        <w:tc>
          <w:tcPr>
            <w:tcW w:type="dxa" w:w="3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Input data Internal tanpa memperhatikan batasan, lupa menghapus riwayat percakapan yang mengandung data internal, menggunakan AI di luar panduan minor</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Teguran lisan, re-training wajib dalam 5 hari kerja, catat di rekam jejak kepatuhan</w:t>
            </w:r>
          </w:p>
        </w:tc>
        <w:tc>
          <w:tcPr>
            <w:tcW w:type="dxa" w:w="2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Atasan Langsung + IT Security</w:t>
            </w:r>
          </w:p>
        </w:tc>
      </w:tr>
      <w:tr>
        <w:tc>
          <w:tcPr>
            <w:tcW w:type="dxa" w:w="1600"/>
            <w:gridSpan w:val="1"/>
            <w:tcBorders>
              <w:top w:val="single" w:color="D9D9D9" w:sz="1"/>
              <w:left w:val="single" w:color="D9D9D9" w:sz="1"/>
              <w:bottom w:val="single" w:color="D9D9D9" w:sz="1"/>
              <w:right w:val="single" w:color="D9D9D9" w:sz="1"/>
            </w:tcBorders>
            <w:shd w:fill="FFF2CC"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E26B0A"/>
                <w:sz w:val="20"/>
                <w:szCs w:val="20"/>
              </w:rPr>
              <w:t xml:space="preserve">SEDANG</w:t>
            </w:r>
          </w:p>
        </w:tc>
        <w:tc>
          <w:tcPr>
            <w:tcW w:type="dxa" w:w="3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Input data Confidential tanpa izin, berbagi kredensial akun AI dengan karyawan lain, menggunakan AI tools yang belum disetujui (Shadow AI)</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Teguran tertulis, penangguhan akses AI minimum 30 hari, laporan ke atasan dan HR, re-assessment dan re-training</w:t>
            </w:r>
          </w:p>
        </w:tc>
        <w:tc>
          <w:tcPr>
            <w:tcW w:type="dxa" w:w="2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IT Security + HR + Atasan</w:t>
            </w:r>
          </w:p>
        </w:tc>
      </w:tr>
      <w:tr>
        <w:tc>
          <w:tcPr>
            <w:tcW w:type="dxa" w:w="1600"/>
            <w:gridSpan w:val="1"/>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C00000"/>
                <w:sz w:val="20"/>
                <w:szCs w:val="20"/>
              </w:rPr>
              <w:t xml:space="preserve">BERAT</w:t>
            </w:r>
          </w:p>
        </w:tc>
        <w:tc>
          <w:tcPr>
            <w:tcW w:type="dxa" w:w="3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Input data RESTRICTED (PII nasabah, data medis, kredensial sistem), pelanggaran yang mengakibatkan data breach, penggunaan AI untuk tujuan ilegal atau merugikan perusahaan</w:t>
            </w:r>
          </w:p>
        </w:tc>
        <w:tc>
          <w:tcPr>
            <w:tcW w:type="dxa" w:w="22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bCs/>
                <w:i w:val="false"/>
                <w:iCs w:val="false"/>
                <w:color w:val="C00000"/>
                <w:sz w:val="20"/>
                <w:szCs w:val="20"/>
              </w:rPr>
              <w:t xml:space="preserve">Tindakan disipliner sesuai PKB/peraturan perusahaan (termasuk potensi PHK), pelaporan ke Kominfo/OJK sesuai regulasi, tindakan hukum perdata/pidana jika diperlukan</w:t>
            </w:r>
          </w:p>
        </w:tc>
        <w:tc>
          <w:tcPr>
            <w:tcW w:type="dxa" w:w="2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Manajemen + Legal + HR + IT Security</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10.3 Jadwal Review Framework</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Framework ini wajib di-review minimal setiap 1 (satu) tahun oleh IT Security &amp; Governance bersama Risk Management dan Legal &amp; Compliance</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Review tambahan dilakukan jika terdapat: (a) perubahan regulasi material (UU PDP, regulasi OJK), (b) insiden keamanan AI yang signifikan, (c) perubahan material dalam penggunaan AI di perusahaan, atau (d) penambahan use case AI baru Kelas A/B</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Setiap versi baru framework ini wajib mendapat persetujuan Komite Pengelola Teknologi Informasi sebelum diberlakukan</w:t>
      </w:r>
    </w:p>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B3A6B"/>
          <w:sz w:val="32"/>
          <w:szCs w:val="32"/>
        </w:rPr>
        <w:t xml:space="preserve">LAMPIRAN A — PERNYATAAN KEPATUHAN AI AUP</w:t>
      </w:r>
    </w:p>
    <w:p>
      <w:pPr>
        <w:spacing w:after="40" w:before="40"/>
      </w:pPr>
      <w:r>
        <w:t xml:space="preserve"/>
      </w:r>
    </w:p>
    <w:p>
      <w:pPr>
        <w:pBdr>
          <w:left w:val="single" w:color="2E75B6" w:sz="14" w:space="10"/>
        </w:pBdr>
        <w:shd w:fill="DEEAF1" w:val="clear"/>
        <w:spacing w:after="120" w:before="120" w:line="276"/>
        <w:ind w:left="400"/>
      </w:pPr>
      <w:r>
        <w:rPr>
          <w:rFonts w:ascii="Arial" w:cs="Arial" w:eastAsia="Arial" w:hAnsi="Arial"/>
          <w:i/>
          <w:iCs/>
          <w:color w:val="1A1A1A"/>
          <w:sz w:val="21"/>
          <w:szCs w:val="21"/>
        </w:rPr>
        <w:t xml:space="preserve">Dokumen ini wajib ditandatangani oleh setiap karyawan sebelum akun AI Tools diaktifkan. Simpan salinan asli di arsip HR dan salinan fotokopi diberikan kepada karyawan.</w:t>
      </w:r>
    </w:p>
    <w:p>
      <w:pPr>
        <w:spacing w:after="8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6272"/>
      </w:tblGrid>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Nama Lengkap</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NIK Karyawan</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Jabatan</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Unit / Departemen</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Direktorat</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AI Tools yang Diizinkan</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Tanggal Selesai Training AUP</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
            </w:r>
          </w:p>
        </w:tc>
      </w:tr>
    </w:tbl>
    <w:p>
      <w:pPr>
        <w:spacing w:after="80" w:before="80"/>
      </w:pPr>
      <w:r>
        <w:t xml:space="preserve"/>
      </w:r>
    </w:p>
    <w:p>
      <w:pPr>
        <w:spacing w:after="60" w:before="60" w:line="280"/>
        <w:jc w:val="both"/>
      </w:pPr>
      <w:r>
        <w:rPr>
          <w:rFonts w:ascii="Arial" w:cs="Arial" w:eastAsia="Arial" w:hAnsi="Arial"/>
          <w:color w:val="1A1A1A"/>
          <w:sz w:val="22"/>
          <w:szCs w:val="22"/>
        </w:rPr>
        <w:t xml:space="preserve">Dengan menandatangani dokumen ini, saya menyatakan bahwa:</w:t>
      </w:r>
    </w:p>
    <w:p>
      <w:pPr>
        <w:pStyle w:val="ListParagraph"/>
        <w:numPr>
          <w:ilvl w:val="0"/>
          <w:numId w:val="3"/>
        </w:numPr>
        <w:spacing w:after="40" w:before="40" w:line="276"/>
      </w:pPr>
      <w:r>
        <w:rPr>
          <w:rFonts w:ascii="Arial" w:cs="Arial" w:eastAsia="Arial" w:hAnsi="Arial"/>
          <w:b w:val="false"/>
          <w:bCs w:val="false"/>
          <w:color w:val="1A1A1A"/>
          <w:sz w:val="22"/>
          <w:szCs w:val="22"/>
        </w:rPr>
        <w:t xml:space="preserve">Saya telah membaca, memahami, dan menyetujui seluruh ketentuan AI Governance Framework dan AI Acceptable Use Policy (AI AUP) PT Equity Life Indonesia versi yang berlaku.</w:t>
      </w:r>
    </w:p>
    <w:p>
      <w:pPr>
        <w:pStyle w:val="ListParagraph"/>
        <w:numPr>
          <w:ilvl w:val="0"/>
          <w:numId w:val="3"/>
        </w:numPr>
        <w:spacing w:after="40" w:before="40" w:line="276"/>
      </w:pPr>
      <w:r>
        <w:rPr>
          <w:rFonts w:ascii="Arial" w:cs="Arial" w:eastAsia="Arial" w:hAnsi="Arial"/>
          <w:b w:val="false"/>
          <w:bCs w:val="false"/>
          <w:color w:val="1A1A1A"/>
          <w:sz w:val="22"/>
          <w:szCs w:val="22"/>
        </w:rPr>
        <w:t xml:space="preserve">Saya memahami klasifikasi data perusahaan (Public, Internal, Confidential, Restricted) dan berkomitmen untuk tidak menginput data Restricted dan Confidential ke dalam tools AI tanpa izin khusus.</w:t>
      </w:r>
    </w:p>
    <w:p>
      <w:pPr>
        <w:pStyle w:val="ListParagraph"/>
        <w:numPr>
          <w:ilvl w:val="0"/>
          <w:numId w:val="3"/>
        </w:numPr>
        <w:spacing w:after="40" w:before="40" w:line="276"/>
      </w:pPr>
      <w:r>
        <w:rPr>
          <w:rFonts w:ascii="Arial" w:cs="Arial" w:eastAsia="Arial" w:hAnsi="Arial"/>
          <w:b w:val="false"/>
          <w:bCs w:val="false"/>
          <w:color w:val="1A1A1A"/>
          <w:sz w:val="22"/>
          <w:szCs w:val="22"/>
        </w:rPr>
        <w:t xml:space="preserve">Saya memahami bahwa 1 akun AI Tools = 1 pengguna. Berbagi kredensial akun adalah pelanggaran kebijakan yang dapat mengakibatkan sanksi.</w:t>
      </w:r>
    </w:p>
    <w:p>
      <w:pPr>
        <w:pStyle w:val="ListParagraph"/>
        <w:numPr>
          <w:ilvl w:val="0"/>
          <w:numId w:val="3"/>
        </w:numPr>
        <w:spacing w:after="40" w:before="40" w:line="276"/>
      </w:pPr>
      <w:r>
        <w:rPr>
          <w:rFonts w:ascii="Arial" w:cs="Arial" w:eastAsia="Arial" w:hAnsi="Arial"/>
          <w:b w:val="false"/>
          <w:bCs w:val="false"/>
          <w:color w:val="1A1A1A"/>
          <w:sz w:val="22"/>
          <w:szCs w:val="22"/>
        </w:rPr>
        <w:t xml:space="preserve">Saya memahami bahwa seluruh aktivitas penggunaan akun AI yang diberikan perusahaan dapat dimonitor oleh IT Security melalui log jaringan sesuai kebijakan yang berlaku dan yang telah dikomunikasikan kepada saya.</w:t>
      </w:r>
    </w:p>
    <w:p>
      <w:pPr>
        <w:pStyle w:val="ListParagraph"/>
        <w:numPr>
          <w:ilvl w:val="0"/>
          <w:numId w:val="3"/>
        </w:numPr>
        <w:spacing w:after="40" w:before="40" w:line="276"/>
      </w:pPr>
      <w:r>
        <w:rPr>
          <w:rFonts w:ascii="Arial" w:cs="Arial" w:eastAsia="Arial" w:hAnsi="Arial"/>
          <w:b w:val="false"/>
          <w:bCs w:val="false"/>
          <w:color w:val="1A1A1A"/>
          <w:sz w:val="22"/>
          <w:szCs w:val="22"/>
        </w:rPr>
        <w:t xml:space="preserve">Saya bertanggung jawab penuh atas output AI yang saya gunakan dalam pekerjaan. Output AI tidak menggantikan penilaian profesional saya.</w:t>
      </w:r>
    </w:p>
    <w:p>
      <w:pPr>
        <w:pStyle w:val="ListParagraph"/>
        <w:numPr>
          <w:ilvl w:val="0"/>
          <w:numId w:val="3"/>
        </w:numPr>
        <w:spacing w:after="40" w:before="40" w:line="276"/>
      </w:pPr>
      <w:r>
        <w:rPr>
          <w:rFonts w:ascii="Arial" w:cs="Arial" w:eastAsia="Arial" w:hAnsi="Arial"/>
          <w:b w:val="false"/>
          <w:bCs w:val="false"/>
          <w:color w:val="1A1A1A"/>
          <w:sz w:val="22"/>
          <w:szCs w:val="22"/>
        </w:rPr>
        <w:t xml:space="preserve">Saya akan melaporkan setiap dugaan insiden atau pelanggaran yang saya temukan (termasuk oleh diri sendiri) kepada IT Security dalam waktu 1×24 jam.</w:t>
      </w:r>
    </w:p>
    <w:p>
      <w:pPr>
        <w:pStyle w:val="ListParagraph"/>
        <w:numPr>
          <w:ilvl w:val="0"/>
          <w:numId w:val="3"/>
        </w:numPr>
        <w:spacing w:after="40" w:before="40" w:line="276"/>
      </w:pPr>
      <w:r>
        <w:rPr>
          <w:rFonts w:ascii="Arial" w:cs="Arial" w:eastAsia="Arial" w:hAnsi="Arial"/>
          <w:b w:val="false"/>
          <w:bCs w:val="false"/>
          <w:color w:val="1A1A1A"/>
          <w:sz w:val="22"/>
          <w:szCs w:val="22"/>
        </w:rPr>
        <w:t xml:space="preserve">Saya bersedia mengikuti program refresher training AI AUP yang dijadwalkan secara berkala oleh perusahaan.</w:t>
      </w:r>
    </w:p>
    <w:p>
      <w:pPr>
        <w:spacing w:after="8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36"/>
        <w:gridCol w:w="3036"/>
        <w:gridCol w:w="3000"/>
      </w:tblGrid>
      <w:tr>
        <w:tc>
          <w:tcPr>
            <w:tcW w:type="dxa" w:w="3036"/>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Karyawan</w:t>
            </w:r>
          </w:p>
        </w:tc>
        <w:tc>
          <w:tcPr>
            <w:tcW w:type="dxa" w:w="3036"/>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Mengetahui
(Atasan Langsung)</w:t>
            </w:r>
          </w:p>
        </w:tc>
        <w:tc>
          <w:tcPr>
            <w:tcW w:type="dxa" w:w="3000"/>
            <w:gridSpan w:val="1"/>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Verifikasi
(IT Security &amp; Governance)</w:t>
            </w:r>
          </w:p>
        </w:tc>
      </w:tr>
      <w:tr>
        <w:tc>
          <w:tcPr>
            <w:tcW w:type="dxa" w:w="303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
Nama    : ______________________
Tanggal : ______________________
Tanda Tangan:
______________________</w:t>
            </w:r>
          </w:p>
        </w:tc>
        <w:tc>
          <w:tcPr>
            <w:tcW w:type="dxa" w:w="3036"/>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
Nama    : ______________________
Jabatan : ______________________
Tanda Tangan:
______________________</w:t>
            </w:r>
          </w:p>
        </w:tc>
        <w:tc>
          <w:tcPr>
            <w:tcW w:type="dxa" w:w="30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
Nama    : ______________________
Tanggal : ______________________
Tanda Tangan:
______________________</w:t>
            </w:r>
          </w:p>
        </w:tc>
      </w:tr>
    </w:tbl>
    <w:p>
      <w:pPr>
        <w:spacing w:after="60" w:before="60"/>
      </w:pPr>
      <w:r>
        <w:t xml:space="preserve"/>
      </w:r>
    </w:p>
    <w:p>
      <w:pPr>
        <w:spacing w:after="40" w:before="40" w:line="280"/>
        <w:jc w:val="both"/>
      </w:pPr>
      <w:r>
        <w:rPr>
          <w:rFonts w:ascii="Arial" w:cs="Arial" w:eastAsia="Arial" w:hAnsi="Arial"/>
          <w:color w:val="1A1A1A"/>
          <w:sz w:val="22"/>
          <w:szCs w:val="22"/>
        </w:rPr>
        <w:t xml:space="preserve">[  ] Salinan untuk Karyawan     [  ] Arsip HR     [  ] Arsip IT Security</w:t>
      </w:r>
    </w:p>
    <w:p>
      <w:pPr>
        <w:spacing w:after="80" w:before="80"/>
      </w:pPr>
      <w:r>
        <w:t xml:space="preserve"/>
      </w:r>
    </w:p>
    <w:p>
      <w:r>
        <w:br w:type="page"/>
      </w:r>
    </w:p>
    <w:p>
      <w:pPr>
        <w:pStyle w:val="Heading1"/>
        <w:pBdr>
          <w:bottom w:val="single" w:color="2E75B6" w:sz="8" w:space="4"/>
        </w:pBdr>
        <w:spacing w:after="160" w:before="360"/>
      </w:pPr>
      <w:r>
        <w:rPr>
          <w:rFonts w:ascii="Arial" w:cs="Arial" w:eastAsia="Arial" w:hAnsi="Arial"/>
          <w:b/>
          <w:bCs/>
          <w:color w:val="1B3A6B"/>
          <w:sz w:val="32"/>
          <w:szCs w:val="32"/>
        </w:rPr>
        <w:t xml:space="preserve">LAMPIRAN B — AI USE CASE SUBMISSION FORM</w:t>
      </w:r>
    </w:p>
    <w:p>
      <w:pPr>
        <w:spacing w:after="40" w:before="40"/>
      </w:pPr>
      <w:r>
        <w:t xml:space="preserve"/>
      </w:r>
    </w:p>
    <w:p>
      <w:pPr>
        <w:spacing w:after="80" w:before="40" w:line="280"/>
        <w:jc w:val="both"/>
      </w:pPr>
      <w:r>
        <w:rPr>
          <w:rFonts w:ascii="Arial" w:cs="Arial" w:eastAsia="Arial" w:hAnsi="Arial"/>
          <w:color w:val="1A1A1A"/>
          <w:sz w:val="22"/>
          <w:szCs w:val="22"/>
        </w:rPr>
        <w:t xml:space="preserve">Gunakan form ini untuk mengajukan use case AI baru atau mengubah use case yang sudah berjalan.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6272"/>
      </w:tblGrid>
      <w:tr>
        <w:tc>
          <w:tcPr>
            <w:tcW w:type="dxa" w:w="9072"/>
            <w:gridSpan w:val="2"/>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BAGIAN A — IDENTITAS PEMOHON</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Nomor Pengajuan</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Tanggal Pengajuan</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Nama Pemohon</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Jabatan &amp; Direktorat</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
            </w:r>
          </w:p>
        </w:tc>
      </w:tr>
      <w:tr>
        <w:tc>
          <w:tcPr>
            <w:tcW w:type="dxa" w:w="9072"/>
            <w:gridSpan w:val="2"/>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BAGIAN B — DESKRIPSI USE CASE</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Nama Use Case</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AI Tools yang Diusulkan</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Tujuan / Masalah yang Dipecahkan</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
</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Pengguna (siapa yang akan menggunakan)</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Jenis Data yang Diinput ke AI</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Klasifikasi Data Tertinggi</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  ] Public    [  ] Internal    [  ] Confidential    [  ] Restricted</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Apakah ada data pribadi nasabah yang diproses?</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  ] Ya  →  DPIA wajib         [  ] Tidak</w:t>
            </w:r>
          </w:p>
        </w:tc>
      </w:tr>
      <w:tr>
        <w:tc>
          <w:tcPr>
            <w:tcW w:type="dxa" w:w="9072"/>
            <w:gridSpan w:val="2"/>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BAGIAN C — PENILAIAN RISIKO AWAL</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Kelas Risiko yang Diusulkan</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  ] Kelas A (Tinggi)    [  ] Kelas B (Sedang)    [  ] Kelas C (Rendah)</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Risiko yang Teridentifikasi</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
</w:t>
            </w:r>
          </w:p>
        </w:tc>
      </w:tr>
      <w:tr>
        <w:tc>
          <w:tcPr>
            <w:tcW w:type="dxa" w:w="2800"/>
            <w:gridSpan w:val="1"/>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1A1A1A"/>
                <w:sz w:val="20"/>
                <w:szCs w:val="20"/>
              </w:rPr>
              <w:t xml:space="preserve">Mitigasi yang Diusulkan</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
</w:t>
            </w:r>
          </w:p>
        </w:tc>
      </w:tr>
      <w:tr>
        <w:tc>
          <w:tcPr>
            <w:tcW w:type="dxa" w:w="9072"/>
            <w:gridSpan w:val="2"/>
            <w:tcBorders>
              <w:top w:val="single" w:color="D9D9D9" w:sz="1"/>
              <w:left w:val="single" w:color="D9D9D9" w:sz="1"/>
              <w:bottom w:val="single" w:color="D9D9D9" w:sz="1"/>
              <w:right w:val="single" w:color="D9D9D9" w:sz="1"/>
            </w:tcBorders>
            <w:shd w:fill="2E75B6" w:val="clear"/>
            <w:tcMar>
              <w:top w:type="dxa" w:w="80"/>
              <w:left w:type="dxa" w:w="120"/>
              <w:bottom w:type="dxa" w:w="80"/>
              <w:right w:type="dxa" w:w="120"/>
            </w:tcMar>
            <w:vAlign w:val="center"/>
          </w:tcPr>
          <w:p>
            <w:pPr>
              <w:spacing w:line="240"/>
              <w:jc w:val="left"/>
            </w:pPr>
            <w:r>
              <w:rPr>
                <w:rFonts w:ascii="Arial" w:cs="Arial" w:eastAsia="Arial" w:hAnsi="Arial"/>
                <w:b/>
                <w:bCs/>
                <w:i w:val="false"/>
                <w:iCs w:val="false"/>
                <w:color w:val="FFFFFF"/>
                <w:sz w:val="20"/>
                <w:szCs w:val="20"/>
              </w:rPr>
              <w:t xml:space="preserve">BAGIAN D — PERSETUJUAN</w:t>
            </w:r>
          </w:p>
        </w:tc>
      </w:tr>
      <w:tr>
        <w:tc>
          <w:tcPr>
            <w:tcW w:type="dxa" w:w="2800"/>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Pemohon
Nama: _______________
Tanda Tangan: _______________
Tanggal: _______________</w:t>
            </w:r>
          </w:p>
        </w:tc>
        <w:tc>
          <w:tcPr>
            <w:tcW w:type="dxa" w:w="6272"/>
            <w:gridSpan w:val="1"/>
            <w:tcBorders>
              <w:top w:val="single" w:color="D9D9D9" w:sz="1"/>
              <w:left w:val="single" w:color="D9D9D9" w:sz="1"/>
              <w:bottom w:val="single" w:color="D9D9D9" w:sz="1"/>
              <w:right w:val="single" w:color="D9D9D9" w:sz="1"/>
            </w:tcBorders>
            <w:tcMar>
              <w:top w:type="dxa" w:w="80"/>
              <w:left w:type="dxa" w:w="120"/>
              <w:bottom w:type="dxa" w:w="80"/>
              <w:right w:type="dxa" w:w="120"/>
            </w:tcMar>
            <w:vAlign w:val="center"/>
          </w:tcPr>
          <w:p>
            <w:pPr>
              <w:spacing w:line="240"/>
              <w:jc w:val="left"/>
            </w:pPr>
            <w:r>
              <w:rPr>
                <w:rFonts w:ascii="Arial" w:cs="Arial" w:eastAsia="Arial" w:hAnsi="Arial"/>
                <w:b w:val="false"/>
                <w:bCs w:val="false"/>
                <w:i w:val="false"/>
                <w:iCs w:val="false"/>
                <w:color w:val="1A1A1A"/>
                <w:sz w:val="20"/>
                <w:szCs w:val="20"/>
              </w:rPr>
              <w:t xml:space="preserve">IT Security &amp; Governance
Nama: _______________
Status: [  ] Approved  [  ] Rejected  [  ] Perlu DPIA
Tanggal: _______________</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rFonts w:ascii="Arial" w:cs="Arial" w:eastAsia="Arial" w:hAnsi="Arial"/>
        <w:color w:val="595959"/>
        <w:sz w:val="18"/>
        <w:szCs w:val="18"/>
      </w:rPr>
      <w:t xml:space="preserve">Halaman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dari </w:t>
    </w:r>
    <w:r>
      <w:rPr>
        <w:rFonts w:ascii="Arial" w:cs="Arial" w:eastAsia="Arial" w:hAnsi="Arial"/>
        <w:color w:val="595959"/>
        <w:sz w:val="18"/>
        <w:szCs w:val="18"/>
      </w:rPr>
      <w:fldChar w:fldCharType="begin"/>
      <w:instrText xml:space="preserve">NUMPAGES</w:instrText>
      <w:fldChar w:fldCharType="separate"/>
      <w:fldChar w:fldCharType="end"/>
    </w:r>
    <w:r>
      <w:rPr>
        <w:rFonts w:ascii="Arial" w:cs="Arial" w:eastAsia="Arial" w:hAnsi="Arial"/>
        <w:color w:val="595959"/>
        <w:sz w:val="18"/>
        <w:szCs w:val="18"/>
      </w:rPr>
      <w:t xml:space="preserve">   |   Versi 1.0   |   27 Maret 2026   |   INTERNAL — PT Equity Life Indonesia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60"/>
      <w:jc w:val="right"/>
    </w:pPr>
    <w:r>
      <w:rPr>
        <w:rFonts w:ascii="Arial" w:cs="Arial" w:eastAsia="Arial" w:hAnsi="Arial"/>
        <w:color w:val="595959"/>
        <w:sz w:val="16"/>
        <w:szCs w:val="16"/>
      </w:rPr>
      <w:t xml:space="preserve">AI Governance Framework — PT Equity Life Indonesia  |  ITSG-GOV-AI-2026-001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bullet"/>
      <w:lvlText w:val="◦"/>
      <w:lvlJc w:val="left"/>
      <w:pPr>
        <w:spacing w:after="30" w:before="30"/>
        <w:ind w:left="1080" w:hanging="360"/>
      </w:pPr>
    </w:lvl>
  </w:abstractNum>
  <w:abstractNum w:abstractNumId="4" w15:restartNumberingAfterBreak="0">
    <w:multiLevelType w:val="hybridMultilevel"/>
    <w:lvl w:ilvl="0" w15:tentative="1">
      <w:start w:val="1"/>
      <w:numFmt w:val="decimal"/>
      <w:lvlText w:val="%1."/>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2026-03-27T06:20:24.978Z</dcterms:created>
  <dcterms:modified xsi:type="dcterms:W3CDTF">2026-03-27T06:20:24.978Z</dcterms:modified>
</cp:coreProperties>
</file>

<file path=docProps/custom.xml><?xml version="1.0" encoding="utf-8"?>
<Properties xmlns="http://schemas.openxmlformats.org/officeDocument/2006/custom-properties" xmlns:vt="http://schemas.openxmlformats.org/officeDocument/2006/docPropsVTypes"/>
</file>