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t xml:space="preserve"/>
      </w:r>
    </w:p>
    <w:p>
      <w:pPr>
        <w:spacing w:after="60" w:before="0"/>
        <w:jc w:val="center"/>
      </w:pPr>
      <w:r>
        <w:rPr>
          <w:rFonts w:ascii="Arial" w:cs="Arial" w:eastAsia="Arial" w:hAnsi="Arial"/>
          <w:b/>
          <w:bCs/>
          <w:color w:val="1B3A6B"/>
          <w:sz w:val="44"/>
          <w:szCs w:val="44"/>
        </w:rPr>
        <w:t xml:space="preserve">PT EQUITY LIFE INDONESIA</w:t>
      </w:r>
    </w:p>
    <w:p>
      <w:pPr>
        <w:spacing w:after="400" w:before="0"/>
        <w:jc w:val="center"/>
      </w:pPr>
      <w:r>
        <w:rPr>
          <w:rFonts w:ascii="Arial" w:cs="Arial" w:eastAsia="Arial" w:hAnsi="Arial"/>
          <w:i/>
          <w:iCs/>
          <w:color w:val="595959"/>
          <w:sz w:val="22"/>
          <w:szCs w:val="22"/>
        </w:rPr>
        <w:t xml:space="preserve">Melindungi yang Dicintai, Menjamin Masa Depan</w:t>
      </w:r>
    </w:p>
    <w:p>
      <w:pPr>
        <w:shd w:fill="1B3A6B" w:val="clear"/>
        <w:spacing w:after="0" w:before="0"/>
        <w:jc w:val="center"/>
      </w:pPr>
      <w:r>
        <w:rPr>
          <w:rFonts w:ascii="Arial" w:cs="Arial" w:eastAsia="Arial" w:hAnsi="Arial"/>
          <w:b/>
          <w:bCs/>
          <w:color w:val="FFFFFF"/>
          <w:sz w:val="36"/>
          <w:szCs w:val="36"/>
        </w:rPr>
        <w:t xml:space="preserve">  PERNYATAAN KEBIJAKAN KECERDASAN BUATAN (AI POLICY STATEMENT)  </w:t>
      </w:r>
    </w:p>
    <w:p>
      <w:pPr>
        <w:shd w:fill="2E75B6" w:val="clear"/>
        <w:spacing w:after="400" w:before="0"/>
        <w:jc w:val="center"/>
      </w:pPr>
      <w:r>
        <w:rPr>
          <w:rFonts w:ascii="Arial" w:cs="Arial" w:eastAsia="Arial" w:hAnsi="Arial"/>
          <w:color w:val="FFFFFF"/>
          <w:sz w:val="22"/>
          <w:szCs w:val="22"/>
        </w:rPr>
        <w:t xml:space="preserve">  Komitmen Kepemimpinan terhadap Tata Kelola AI yang Bertanggung Jawab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600"/>
        <w:gridCol w:w="6472"/>
      </w:tblGrid>
      <w:tr>
        <w:tc>
          <w:tcPr>
            <w:tcW w:type="dxa" w:w="26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Nomor Dokumen</w:t>
            </w:r>
          </w:p>
        </w:tc>
        <w:tc>
          <w:tcPr>
            <w:tcW w:type="dxa" w:w="64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ITSG-POL-AI-2026-001</w:t>
            </w:r>
          </w:p>
        </w:tc>
      </w:tr>
      <w:tr>
        <w:tc>
          <w:tcPr>
            <w:tcW w:type="dxa" w:w="26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Versi</w:t>
            </w:r>
          </w:p>
        </w:tc>
        <w:tc>
          <w:tcPr>
            <w:tcW w:type="dxa" w:w="64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1.0</w:t>
            </w:r>
          </w:p>
        </w:tc>
      </w:tr>
      <w:tr>
        <w:tc>
          <w:tcPr>
            <w:tcW w:type="dxa" w:w="26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Tanggal Berlaku</w:t>
            </w:r>
          </w:p>
        </w:tc>
        <w:tc>
          <w:tcPr>
            <w:tcW w:type="dxa" w:w="64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1 April 2026</w:t>
            </w:r>
          </w:p>
        </w:tc>
      </w:tr>
      <w:tr>
        <w:tc>
          <w:tcPr>
            <w:tcW w:type="dxa" w:w="26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Ditetapkan Oleh</w:t>
            </w:r>
          </w:p>
        </w:tc>
        <w:tc>
          <w:tcPr>
            <w:tcW w:type="dxa" w:w="64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President Director — PT Equity Life Indonesia</w:t>
            </w:r>
          </w:p>
        </w:tc>
      </w:tr>
      <w:tr>
        <w:tc>
          <w:tcPr>
            <w:tcW w:type="dxa" w:w="26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Berlaku Untuk</w:t>
            </w:r>
          </w:p>
        </w:tc>
        <w:tc>
          <w:tcPr>
            <w:tcW w:type="dxa" w:w="64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Seluruh karyawan, mitra kerja, dan pihak ketiga yang bertindak atas nama PT Equity Life Indonesia</w:t>
            </w:r>
          </w:p>
        </w:tc>
      </w:tr>
      <w:tr>
        <w:tc>
          <w:tcPr>
            <w:tcW w:type="dxa" w:w="26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Dokumen Turunan</w:t>
            </w:r>
          </w:p>
        </w:tc>
        <w:tc>
          <w:tcPr>
            <w:tcW w:type="dxa" w:w="64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AI Governance Framework (ITSG-GOV-AI-2026-001) • AI Acceptable Use Policy • SOP Penggunaan AI</w:t>
            </w:r>
          </w:p>
        </w:tc>
      </w:tr>
    </w:tbl>
    <w:p>
      <w:pPr>
        <w:spacing w:after="80" w:before="80"/>
      </w:pPr>
      <w:r>
        <w:t xml:space="preserve"/>
      </w:r>
    </w:p>
    <w:p>
      <w:r>
        <w:br w:type="page"/>
      </w:r>
    </w:p>
    <w:p>
      <w:pPr>
        <w:pStyle w:val="Heading1"/>
        <w:pBdr>
          <w:bottom w:val="single" w:color="2E75B6" w:sz="8" w:space="4"/>
        </w:pBdr>
        <w:spacing w:after="160" w:before="320"/>
      </w:pPr>
      <w:r>
        <w:rPr>
          <w:rFonts w:ascii="Arial" w:cs="Arial" w:eastAsia="Arial" w:hAnsi="Arial"/>
          <w:b/>
          <w:bCs/>
          <w:color w:val="1B3A6B"/>
          <w:sz w:val="32"/>
          <w:szCs w:val="32"/>
        </w:rPr>
        <w:t xml:space="preserve">I. KOMITMEN KEPEMIMPINAN</w:t>
      </w:r>
    </w:p>
    <w:p>
      <w:pPr>
        <w:spacing w:after="60" w:before="80" w:line="276"/>
        <w:jc w:val="both"/>
      </w:pPr>
      <w:r>
        <w:rPr>
          <w:rFonts w:ascii="Arial" w:cs="Arial" w:eastAsia="Arial" w:hAnsi="Arial"/>
          <w:b w:val="false"/>
          <w:bCs w:val="false"/>
          <w:i w:val="false"/>
          <w:iCs w:val="false"/>
          <w:color w:val="1A1A1A"/>
          <w:sz w:val="22"/>
          <w:szCs w:val="22"/>
        </w:rPr>
        <w:t xml:space="preserve">PT Equity Life Indonesia berkomitmen untuk memanfaatkan teknologi kecerdasan buatan (Artificial Intelligence/AI) secara bertanggung jawab, aman, dan etis sebagai bagian dari transformasi digital perusahaan. Komitmen ini bukan sekadar kepatuhan terhadap regulasi — melainkan cerminan dari nilai-nilai perusahaan dalam melindungi kepentingan nasabah, karyawan, dan seluruh pemangku kepentingan.</w:t>
      </w:r>
    </w:p>
    <w:p>
      <w:pPr>
        <w:spacing w:after="80" w:before="40" w:line="276"/>
        <w:jc w:val="both"/>
      </w:pPr>
      <w:r>
        <w:rPr>
          <w:rFonts w:ascii="Arial" w:cs="Arial" w:eastAsia="Arial" w:hAnsi="Arial"/>
          <w:b w:val="false"/>
          <w:bCs w:val="false"/>
          <w:i w:val="false"/>
          <w:iCs w:val="false"/>
          <w:color w:val="1A1A1A"/>
          <w:sz w:val="22"/>
          <w:szCs w:val="22"/>
        </w:rPr>
        <w:t xml:space="preserve">Sebagai perusahaan asuransi jiwa yang mengelola kepercayaan jutaan nasabah, kami menyadari bahwa AI membawa tanggung jawab yang besar. Setiap sistem AI yang kami gunakan atau kembangkan harus dapat dipertanggungjawabkan, transparan, adil, dan aman. Tidak ada efisiensi atau keuntungan bisnis yang sepadan dengan risiko membahayakan data nasabah atau melanggar kepercayaan yang telah dibangun.</w:t>
      </w:r>
    </w:p>
    <w:p>
      <w:pPr>
        <w:spacing w:after="40" w:before="40"/>
      </w:pPr>
      <w:r>
        <w:t xml:space="preserve"/>
      </w:r>
    </w:p>
    <w:p>
      <w:pPr>
        <w:pStyle w:val="Heading1"/>
        <w:pBdr>
          <w:bottom w:val="single" w:color="2E75B6" w:sz="8" w:space="4"/>
        </w:pBdr>
        <w:spacing w:after="160" w:before="320"/>
      </w:pPr>
      <w:r>
        <w:rPr>
          <w:rFonts w:ascii="Arial" w:cs="Arial" w:eastAsia="Arial" w:hAnsi="Arial"/>
          <w:b/>
          <w:bCs/>
          <w:color w:val="1B3A6B"/>
          <w:sz w:val="32"/>
          <w:szCs w:val="32"/>
        </w:rPr>
        <w:t xml:space="preserve">II. PERNYATAAN KEBIJAKAN</w:t>
      </w:r>
    </w:p>
    <w:p>
      <w:pPr>
        <w:spacing w:after="60" w:before="80" w:line="276"/>
        <w:jc w:val="both"/>
      </w:pPr>
      <w:r>
        <w:rPr>
          <w:rFonts w:ascii="Arial" w:cs="Arial" w:eastAsia="Arial" w:hAnsi="Arial"/>
          <w:b w:val="false"/>
          <w:bCs w:val="false"/>
          <w:i w:val="false"/>
          <w:iCs w:val="false"/>
          <w:color w:val="1A1A1A"/>
          <w:sz w:val="22"/>
          <w:szCs w:val="22"/>
        </w:rPr>
        <w:t xml:space="preserve">PT Equity Life Indonesia menetapkan bahwa: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500"/>
        <w:gridCol w:w="8572"/>
      </w:tblGrid>
      <w:tr>
        <w:tc>
          <w:tcPr>
            <w:tcW w:type="dxa" w:w="5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1</w:t>
            </w:r>
          </w:p>
        </w:tc>
        <w:tc>
          <w:tcPr>
            <w:tcW w:type="dxa" w:w="8572"/>
            <w:tcBorders>
              <w:top w:val="single" w:color="D9D9D9" w:sz="1"/>
              <w:left w:val="single" w:color="D9D9D9" w:sz="1"/>
              <w:bottom w:val="single" w:color="D9D9D9" w:sz="1"/>
              <w:right w:val="single" w:color="D9D9D9" w:sz="1"/>
            </w:tcBorders>
            <w:tcMar>
              <w:top w:type="dxa" w:w="80"/>
              <w:left w:type="dxa" w:w="160"/>
              <w:bottom w:type="dxa" w:w="80"/>
              <w:right w:type="dxa" w:w="120"/>
            </w:tcMar>
          </w:tcPr>
          <w:p>
            <w:pPr>
              <w:spacing w:after="30" w:before="0"/>
            </w:pPr>
            <w:r>
              <w:rPr>
                <w:rFonts w:ascii="Arial" w:cs="Arial" w:eastAsia="Arial" w:hAnsi="Arial"/>
                <w:b/>
                <w:bCs/>
                <w:color w:val="1B3A6B"/>
                <w:sz w:val="22"/>
                <w:szCs w:val="22"/>
              </w:rPr>
              <w:t xml:space="preserve">Penggunaan AI Adalah Pilihan Strategis yang Disengaja</w:t>
            </w:r>
          </w:p>
          <w:p>
            <w:pPr>
              <w:spacing w:after="0" w:before="0"/>
            </w:pPr>
            <w:r>
              <w:rPr>
                <w:rFonts w:ascii="Arial" w:cs="Arial" w:eastAsia="Arial" w:hAnsi="Arial"/>
                <w:color w:val="1A1A1A"/>
                <w:sz w:val="21"/>
                <w:szCs w:val="21"/>
              </w:rPr>
              <w:t xml:space="preserve">Perusahaan mengadopsi AI secara proaktif untuk meningkatkan efisiensi operasional, kualitas layanan nasabah, dan daya saing. Setiap adopsi AI harus melalui proses evaluasi risiko dan persetujuan yang terstruktur.</w:t>
            </w:r>
          </w:p>
        </w:tc>
      </w:tr>
      <w:tr>
        <w:tc>
          <w:tcPr>
            <w:tcW w:type="dxa" w:w="5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2</w:t>
            </w:r>
          </w:p>
        </w:tc>
        <w:tc>
          <w:tcPr>
            <w:tcW w:type="dxa" w:w="8572"/>
            <w:tcBorders>
              <w:top w:val="single" w:color="D9D9D9" w:sz="1"/>
              <w:left w:val="single" w:color="D9D9D9" w:sz="1"/>
              <w:bottom w:val="single" w:color="D9D9D9" w:sz="1"/>
              <w:right w:val="single" w:color="D9D9D9" w:sz="1"/>
            </w:tcBorders>
            <w:tcMar>
              <w:top w:type="dxa" w:w="80"/>
              <w:left w:type="dxa" w:w="160"/>
              <w:bottom w:type="dxa" w:w="80"/>
              <w:right w:type="dxa" w:w="120"/>
            </w:tcMar>
          </w:tcPr>
          <w:p>
            <w:pPr>
              <w:spacing w:after="30" w:before="0"/>
            </w:pPr>
            <w:r>
              <w:rPr>
                <w:rFonts w:ascii="Arial" w:cs="Arial" w:eastAsia="Arial" w:hAnsi="Arial"/>
                <w:b/>
                <w:bCs/>
                <w:color w:val="1B3A6B"/>
                <w:sz w:val="22"/>
                <w:szCs w:val="22"/>
              </w:rPr>
              <w:t xml:space="preserve">Nasabah Adalah Prioritas Utama</w:t>
            </w:r>
          </w:p>
          <w:p>
            <w:pPr>
              <w:spacing w:after="0" w:before="0"/>
            </w:pPr>
            <w:r>
              <w:rPr>
                <w:rFonts w:ascii="Arial" w:cs="Arial" w:eastAsia="Arial" w:hAnsi="Arial"/>
                <w:color w:val="1A1A1A"/>
                <w:sz w:val="21"/>
                <w:szCs w:val="21"/>
              </w:rPr>
              <w:t xml:space="preserve">Tidak ada sistem AI yang boleh digunakan jika berpotensi merugikan nasabah, mendiskriminasi mereka, atau memproses data pribadi mereka tanpa dasar hukum yang kuat dan mekanisme perlindungan yang memadai.</w:t>
            </w:r>
          </w:p>
        </w:tc>
      </w:tr>
      <w:tr>
        <w:tc>
          <w:tcPr>
            <w:tcW w:type="dxa" w:w="5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3</w:t>
            </w:r>
          </w:p>
        </w:tc>
        <w:tc>
          <w:tcPr>
            <w:tcW w:type="dxa" w:w="8572"/>
            <w:tcBorders>
              <w:top w:val="single" w:color="D9D9D9" w:sz="1"/>
              <w:left w:val="single" w:color="D9D9D9" w:sz="1"/>
              <w:bottom w:val="single" w:color="D9D9D9" w:sz="1"/>
              <w:right w:val="single" w:color="D9D9D9" w:sz="1"/>
            </w:tcBorders>
            <w:tcMar>
              <w:top w:type="dxa" w:w="80"/>
              <w:left w:type="dxa" w:w="160"/>
              <w:bottom w:type="dxa" w:w="80"/>
              <w:right w:type="dxa" w:w="120"/>
            </w:tcMar>
          </w:tcPr>
          <w:p>
            <w:pPr>
              <w:spacing w:after="30" w:before="0"/>
            </w:pPr>
            <w:r>
              <w:rPr>
                <w:rFonts w:ascii="Arial" w:cs="Arial" w:eastAsia="Arial" w:hAnsi="Arial"/>
                <w:b/>
                <w:bCs/>
                <w:color w:val="1B3A6B"/>
                <w:sz w:val="22"/>
                <w:szCs w:val="22"/>
              </w:rPr>
              <w:t xml:space="preserve">Manusia Tetap Memegang Kendali</w:t>
            </w:r>
          </w:p>
          <w:p>
            <w:pPr>
              <w:spacing w:after="0" w:before="0"/>
            </w:pPr>
            <w:r>
              <w:rPr>
                <w:rFonts w:ascii="Arial" w:cs="Arial" w:eastAsia="Arial" w:hAnsi="Arial"/>
                <w:color w:val="1A1A1A"/>
                <w:sz w:val="21"/>
                <w:szCs w:val="21"/>
              </w:rPr>
              <w:t xml:space="preserve">AI adalah alat bantu, bukan pengganti penilaian manusia. Setiap keputusan material yang memengaruhi nasabah — termasuk keputusan klaim, underwriting, dan layanan — wajib melibatkan review dan persetujuan manusia yang kompeten.</w:t>
            </w:r>
          </w:p>
        </w:tc>
      </w:tr>
      <w:tr>
        <w:tc>
          <w:tcPr>
            <w:tcW w:type="dxa" w:w="5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4</w:t>
            </w:r>
          </w:p>
        </w:tc>
        <w:tc>
          <w:tcPr>
            <w:tcW w:type="dxa" w:w="8572"/>
            <w:tcBorders>
              <w:top w:val="single" w:color="D9D9D9" w:sz="1"/>
              <w:left w:val="single" w:color="D9D9D9" w:sz="1"/>
              <w:bottom w:val="single" w:color="D9D9D9" w:sz="1"/>
              <w:right w:val="single" w:color="D9D9D9" w:sz="1"/>
            </w:tcBorders>
            <w:tcMar>
              <w:top w:type="dxa" w:w="80"/>
              <w:left w:type="dxa" w:w="160"/>
              <w:bottom w:type="dxa" w:w="80"/>
              <w:right w:type="dxa" w:w="120"/>
            </w:tcMar>
          </w:tcPr>
          <w:p>
            <w:pPr>
              <w:spacing w:after="30" w:before="0"/>
            </w:pPr>
            <w:r>
              <w:rPr>
                <w:rFonts w:ascii="Arial" w:cs="Arial" w:eastAsia="Arial" w:hAnsi="Arial"/>
                <w:b/>
                <w:bCs/>
                <w:color w:val="1B3A6B"/>
                <w:sz w:val="22"/>
                <w:szCs w:val="22"/>
              </w:rPr>
              <w:t xml:space="preserve">Kepatuhan Regulasi Tidak Dapat Dikompromikan</w:t>
            </w:r>
          </w:p>
          <w:p>
            <w:pPr>
              <w:spacing w:after="0" w:before="0"/>
            </w:pPr>
            <w:r>
              <w:rPr>
                <w:rFonts w:ascii="Arial" w:cs="Arial" w:eastAsia="Arial" w:hAnsi="Arial"/>
                <w:color w:val="1A1A1A"/>
                <w:sz w:val="21"/>
                <w:szCs w:val="21"/>
              </w:rPr>
              <w:t xml:space="preserve">Seluruh penggunaan AI wajib mematuhi Undang-Undang No. 27/2022 tentang Pelindungan Data Pribadi, regulasi OJK yang berlaku, dan standar tata kelola yang ditetapkan dalam ISO/IEC 42001. Perusahaan berkomitmen untuk melaporkan secara transparan kepada otoritas yang berwenang.</w:t>
            </w:r>
          </w:p>
        </w:tc>
      </w:tr>
      <w:tr>
        <w:tc>
          <w:tcPr>
            <w:tcW w:type="dxa" w:w="5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5</w:t>
            </w:r>
          </w:p>
        </w:tc>
        <w:tc>
          <w:tcPr>
            <w:tcW w:type="dxa" w:w="8572"/>
            <w:tcBorders>
              <w:top w:val="single" w:color="D9D9D9" w:sz="1"/>
              <w:left w:val="single" w:color="D9D9D9" w:sz="1"/>
              <w:bottom w:val="single" w:color="D9D9D9" w:sz="1"/>
              <w:right w:val="single" w:color="D9D9D9" w:sz="1"/>
            </w:tcBorders>
            <w:tcMar>
              <w:top w:type="dxa" w:w="80"/>
              <w:left w:type="dxa" w:w="160"/>
              <w:bottom w:type="dxa" w:w="80"/>
              <w:right w:type="dxa" w:w="120"/>
            </w:tcMar>
          </w:tcPr>
          <w:p>
            <w:pPr>
              <w:spacing w:after="30" w:before="0"/>
            </w:pPr>
            <w:r>
              <w:rPr>
                <w:rFonts w:ascii="Arial" w:cs="Arial" w:eastAsia="Arial" w:hAnsi="Arial"/>
                <w:b/>
                <w:bCs/>
                <w:color w:val="1B3A6B"/>
                <w:sz w:val="22"/>
                <w:szCs w:val="22"/>
              </w:rPr>
              <w:t xml:space="preserve">Tata Kelola AI Adalah Tanggung Jawab Bersama</w:t>
            </w:r>
          </w:p>
          <w:p>
            <w:pPr>
              <w:spacing w:after="0" w:before="0"/>
            </w:pPr>
            <w:r>
              <w:rPr>
                <w:rFonts w:ascii="Arial" w:cs="Arial" w:eastAsia="Arial" w:hAnsi="Arial"/>
                <w:color w:val="1A1A1A"/>
                <w:sz w:val="21"/>
                <w:szCs w:val="21"/>
              </w:rPr>
              <w:t xml:space="preserve">Setiap karyawan, dari level direksi hingga staf, memiliki peran dalam memastikan AI digunakan secara bertanggung jawab. Pemimpin unit bertanggung jawab atas kepatuhan AI di unitnya. Pelanggaran terhadap kebijakan ini akan ditindak sesuai peraturan perusahaan.</w:t>
            </w:r>
          </w:p>
        </w:tc>
      </w:tr>
      <w:tr>
        <w:tc>
          <w:tcPr>
            <w:tcW w:type="dxa" w:w="5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6</w:t>
            </w:r>
          </w:p>
        </w:tc>
        <w:tc>
          <w:tcPr>
            <w:tcW w:type="dxa" w:w="8572"/>
            <w:tcBorders>
              <w:top w:val="single" w:color="D9D9D9" w:sz="1"/>
              <w:left w:val="single" w:color="D9D9D9" w:sz="1"/>
              <w:bottom w:val="single" w:color="D9D9D9" w:sz="1"/>
              <w:right w:val="single" w:color="D9D9D9" w:sz="1"/>
            </w:tcBorders>
            <w:tcMar>
              <w:top w:type="dxa" w:w="80"/>
              <w:left w:type="dxa" w:w="160"/>
              <w:bottom w:type="dxa" w:w="80"/>
              <w:right w:type="dxa" w:w="120"/>
            </w:tcMar>
          </w:tcPr>
          <w:p>
            <w:pPr>
              <w:spacing w:after="30" w:before="0"/>
            </w:pPr>
            <w:r>
              <w:rPr>
                <w:rFonts w:ascii="Arial" w:cs="Arial" w:eastAsia="Arial" w:hAnsi="Arial"/>
                <w:b/>
                <w:bCs/>
                <w:color w:val="1B3A6B"/>
                <w:sz w:val="22"/>
                <w:szCs w:val="22"/>
              </w:rPr>
              <w:t xml:space="preserve">Inovasi AI Didukung dalam Batas yang Aman</w:t>
            </w:r>
          </w:p>
          <w:p>
            <w:pPr>
              <w:spacing w:after="0" w:before="0"/>
            </w:pPr>
            <w:r>
              <w:rPr>
                <w:rFonts w:ascii="Arial" w:cs="Arial" w:eastAsia="Arial" w:hAnsi="Arial"/>
                <w:color w:val="1A1A1A"/>
                <w:sz w:val="21"/>
                <w:szCs w:val="21"/>
              </w:rPr>
              <w:t xml:space="preserve">Perusahaan mendorong eksplorasi use case AI yang inovatif. Proses tata kelola yang ditetapkan bukan hambatan untuk berinovasi — melainkan fondasi yang memungkinkan inovasi berlangsung secara berkelanjutan dan bertanggung jawab.</w:t>
            </w:r>
          </w:p>
        </w:tc>
      </w:tr>
    </w:tbl>
    <w:p>
      <w:pPr>
        <w:spacing w:after="80" w:before="80"/>
      </w:pPr>
      <w:r>
        <w:t xml:space="preserve"/>
      </w:r>
    </w:p>
    <w:p>
      <w:pPr>
        <w:pStyle w:val="Heading1"/>
        <w:pBdr>
          <w:bottom w:val="single" w:color="2E75B6" w:sz="8" w:space="4"/>
        </w:pBdr>
        <w:spacing w:after="160" w:before="320"/>
      </w:pPr>
      <w:r>
        <w:rPr>
          <w:rFonts w:ascii="Arial" w:cs="Arial" w:eastAsia="Arial" w:hAnsi="Arial"/>
          <w:b/>
          <w:bCs/>
          <w:color w:val="1B3A6B"/>
          <w:sz w:val="32"/>
          <w:szCs w:val="32"/>
        </w:rPr>
        <w:t xml:space="preserve">III. TUJUAN TERUKUR PROGRAM AI (AI OBJECTIVES)</w:t>
      </w:r>
    </w:p>
    <w:p>
      <w:pPr>
        <w:pBdr>
          <w:left w:val="single" w:color="00695C" w:sz="14" w:space="10"/>
        </w:pBdr>
        <w:shd w:fill="E0F2F1" w:val="clear"/>
        <w:spacing w:after="120" w:before="120" w:line="276"/>
        <w:ind w:left="400"/>
      </w:pPr>
      <w:r>
        <w:rPr>
          <w:rFonts w:ascii="Arial" w:cs="Arial" w:eastAsia="Arial" w:hAnsi="Arial"/>
          <w:i/>
          <w:iCs/>
          <w:color w:val="1A1A1A"/>
          <w:sz w:val="21"/>
          <w:szCs w:val="21"/>
        </w:rPr>
        <w:t xml:space="preserve">Klausul 6.2 ISO/IEC 42001:2023 mensyaratkan penetapan tujuan AI yang terukur, konsisten dengan kebijakan ini, dan dapat dipantau pencapaiannya.</w:t>
      </w:r>
    </w:p>
    <w:p>
      <w:pPr>
        <w:spacing w:after="60" w:before="6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2000"/>
        <w:gridCol w:w="1800"/>
        <w:gridCol w:w="1572"/>
      </w:tblGrid>
      <w:tr>
        <w:tc>
          <w:tcPr>
            <w:tcW w:type="dxa" w:w="5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w:t>
            </w:r>
          </w:p>
        </w:tc>
        <w:tc>
          <w:tcPr>
            <w:tcW w:type="dxa" w:w="32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Tujuan</w:t>
            </w:r>
          </w:p>
        </w:tc>
        <w:tc>
          <w:tcPr>
            <w:tcW w:type="dxa" w:w="20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Indikator (KPI)</w:t>
            </w:r>
          </w:p>
        </w:tc>
        <w:tc>
          <w:tcPr>
            <w:tcW w:type="dxa" w:w="18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Target</w:t>
            </w:r>
          </w:p>
        </w:tc>
        <w:tc>
          <w:tcPr>
            <w:tcW w:type="dxa" w:w="1572"/>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Review</w:t>
            </w:r>
          </w:p>
        </w:tc>
      </w:tr>
      <w:tr>
        <w:tc>
          <w:tcPr>
            <w:tcW w:type="dxa" w:w="500"/>
            <w:gridSpan w:val="1"/>
            <w:tcBorders>
              <w:top w:val="single" w:color="D9D9D9" w:sz="1"/>
              <w:left w:val="single" w:color="D9D9D9" w:sz="1"/>
              <w:bottom w:val="single" w:color="D9D9D9" w:sz="1"/>
              <w:right w:val="single" w:color="D9D9D9" w:sz="1"/>
            </w:tcBorders>
            <w:shd w:fill="DEEAF1"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20"/>
                <w:szCs w:val="20"/>
              </w:rPr>
              <w:t xml:space="preserve">O-1</w:t>
            </w:r>
          </w:p>
        </w:tc>
        <w:tc>
          <w:tcPr>
            <w:tcW w:type="dxa" w:w="32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Seluruh pengguna AI aktif telah menandatangani AI AUP sebelum akun diaktifkan</w:t>
            </w:r>
          </w:p>
        </w:tc>
        <w:tc>
          <w:tcPr>
            <w:tcW w:type="dxa" w:w="20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pengguna dengan AUP tersimpan di arsip</w:t>
            </w:r>
          </w:p>
        </w:tc>
        <w:tc>
          <w:tcPr>
            <w:tcW w:type="dxa" w:w="18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bCs/>
                <w:i w:val="false"/>
                <w:iCs w:val="false"/>
                <w:color w:val="375623"/>
                <w:sz w:val="20"/>
                <w:szCs w:val="20"/>
              </w:rPr>
              <w:t xml:space="preserve">100% sebelum go-live</w:t>
            </w:r>
          </w:p>
        </w:tc>
        <w:tc>
          <w:tcPr>
            <w:tcW w:type="dxa" w:w="15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Bulanan</w:t>
            </w:r>
          </w:p>
        </w:tc>
      </w:tr>
      <w:tr>
        <w:tc>
          <w:tcPr>
            <w:tcW w:type="dxa" w:w="500"/>
            <w:gridSpan w:val="1"/>
            <w:tcBorders>
              <w:top w:val="single" w:color="D9D9D9" w:sz="1"/>
              <w:left w:val="single" w:color="D9D9D9" w:sz="1"/>
              <w:bottom w:val="single" w:color="D9D9D9" w:sz="1"/>
              <w:right w:val="single" w:color="D9D9D9" w:sz="1"/>
            </w:tcBorders>
            <w:shd w:fill="DEEAF1"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20"/>
                <w:szCs w:val="20"/>
              </w:rPr>
              <w:t xml:space="preserve">O-2</w:t>
            </w:r>
          </w:p>
        </w:tc>
        <w:tc>
          <w:tcPr>
            <w:tcW w:type="dxa" w:w="32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Tidak ada insiden data breach yang bersumber dari penggunaan AI tools dalam 12 bulan pertama</w:t>
            </w:r>
          </w:p>
        </w:tc>
        <w:tc>
          <w:tcPr>
            <w:tcW w:type="dxa" w:w="20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Jumlah insiden AI-related data breach</w:t>
            </w:r>
          </w:p>
        </w:tc>
        <w:tc>
          <w:tcPr>
            <w:tcW w:type="dxa" w:w="18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bCs/>
                <w:i w:val="false"/>
                <w:iCs w:val="false"/>
                <w:color w:val="375623"/>
                <w:sz w:val="20"/>
                <w:szCs w:val="20"/>
              </w:rPr>
              <w:t xml:space="preserve">0 insiden (Severity High)</w:t>
            </w:r>
          </w:p>
        </w:tc>
        <w:tc>
          <w:tcPr>
            <w:tcW w:type="dxa" w:w="15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Triwulanan</w:t>
            </w:r>
          </w:p>
        </w:tc>
      </w:tr>
      <w:tr>
        <w:tc>
          <w:tcPr>
            <w:tcW w:type="dxa" w:w="500"/>
            <w:gridSpan w:val="1"/>
            <w:tcBorders>
              <w:top w:val="single" w:color="D9D9D9" w:sz="1"/>
              <w:left w:val="single" w:color="D9D9D9" w:sz="1"/>
              <w:bottom w:val="single" w:color="D9D9D9" w:sz="1"/>
              <w:right w:val="single" w:color="D9D9D9" w:sz="1"/>
            </w:tcBorders>
            <w:shd w:fill="DEEAF1"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20"/>
                <w:szCs w:val="20"/>
              </w:rPr>
              <w:t xml:space="preserve">O-3</w:t>
            </w:r>
          </w:p>
        </w:tc>
        <w:tc>
          <w:tcPr>
            <w:tcW w:type="dxa" w:w="32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Seluruh penggunaan AI baru melalui proses approval sebelum go-live</w:t>
            </w:r>
          </w:p>
        </w:tc>
        <w:tc>
          <w:tcPr>
            <w:tcW w:type="dxa" w:w="20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use case AI dengan dokumen approval lengkap</w:t>
            </w:r>
          </w:p>
        </w:tc>
        <w:tc>
          <w:tcPr>
            <w:tcW w:type="dxa" w:w="18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bCs/>
                <w:i w:val="false"/>
                <w:iCs w:val="false"/>
                <w:color w:val="375623"/>
                <w:sz w:val="20"/>
                <w:szCs w:val="20"/>
              </w:rPr>
              <w:t xml:space="preserve">100%</w:t>
            </w:r>
          </w:p>
        </w:tc>
        <w:tc>
          <w:tcPr>
            <w:tcW w:type="dxa" w:w="15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Triwulanan</w:t>
            </w:r>
          </w:p>
        </w:tc>
      </w:tr>
      <w:tr>
        <w:tc>
          <w:tcPr>
            <w:tcW w:type="dxa" w:w="500"/>
            <w:gridSpan w:val="1"/>
            <w:tcBorders>
              <w:top w:val="single" w:color="D9D9D9" w:sz="1"/>
              <w:left w:val="single" w:color="D9D9D9" w:sz="1"/>
              <w:bottom w:val="single" w:color="D9D9D9" w:sz="1"/>
              <w:right w:val="single" w:color="D9D9D9" w:sz="1"/>
            </w:tcBorders>
            <w:shd w:fill="DEEAF1"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20"/>
                <w:szCs w:val="20"/>
              </w:rPr>
              <w:t xml:space="preserve">O-4</w:t>
            </w:r>
          </w:p>
        </w:tc>
        <w:tc>
          <w:tcPr>
            <w:tcW w:type="dxa" w:w="32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Insiden AI yang dilaporkan ditangani sesuai SLA incident response</w:t>
            </w:r>
          </w:p>
        </w:tc>
        <w:tc>
          <w:tcPr>
            <w:tcW w:type="dxa" w:w="20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 insiden yang ditangani dalam SLA (2 jam triage, 72 jam investigasi)</w:t>
            </w:r>
          </w:p>
        </w:tc>
        <w:tc>
          <w:tcPr>
            <w:tcW w:type="dxa" w:w="18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bCs/>
                <w:i w:val="false"/>
                <w:iCs w:val="false"/>
                <w:color w:val="375623"/>
                <w:sz w:val="20"/>
                <w:szCs w:val="20"/>
              </w:rPr>
              <w:t xml:space="preserve">≥ 95%</w:t>
            </w:r>
          </w:p>
        </w:tc>
        <w:tc>
          <w:tcPr>
            <w:tcW w:type="dxa" w:w="15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Per insiden</w:t>
            </w:r>
          </w:p>
        </w:tc>
      </w:tr>
      <w:tr>
        <w:tc>
          <w:tcPr>
            <w:tcW w:type="dxa" w:w="500"/>
            <w:gridSpan w:val="1"/>
            <w:tcBorders>
              <w:top w:val="single" w:color="D9D9D9" w:sz="1"/>
              <w:left w:val="single" w:color="D9D9D9" w:sz="1"/>
              <w:bottom w:val="single" w:color="D9D9D9" w:sz="1"/>
              <w:right w:val="single" w:color="D9D9D9" w:sz="1"/>
            </w:tcBorders>
            <w:shd w:fill="DEEAF1"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20"/>
                <w:szCs w:val="20"/>
              </w:rPr>
              <w:t xml:space="preserve">O-5</w:t>
            </w:r>
          </w:p>
        </w:tc>
        <w:tc>
          <w:tcPr>
            <w:tcW w:type="dxa" w:w="32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Awareness dan kepatuhan AI AUP meningkat setiap tahun</w:t>
            </w:r>
          </w:p>
        </w:tc>
        <w:tc>
          <w:tcPr>
            <w:tcW w:type="dxa" w:w="20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Skor rata-rata kuesioner kepatuhan AUP tahunan</w:t>
            </w:r>
          </w:p>
        </w:tc>
        <w:tc>
          <w:tcPr>
            <w:tcW w:type="dxa" w:w="18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bCs/>
                <w:i w:val="false"/>
                <w:iCs w:val="false"/>
                <w:color w:val="375623"/>
                <w:sz w:val="20"/>
                <w:szCs w:val="20"/>
              </w:rPr>
              <w:t xml:space="preserve">≥ 85% di tahun pertama, ≥ 90% di tahun kedua</w:t>
            </w:r>
          </w:p>
        </w:tc>
        <w:tc>
          <w:tcPr>
            <w:tcW w:type="dxa" w:w="15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Tahunan</w:t>
            </w:r>
          </w:p>
        </w:tc>
      </w:tr>
      <w:tr>
        <w:tc>
          <w:tcPr>
            <w:tcW w:type="dxa" w:w="500"/>
            <w:gridSpan w:val="1"/>
            <w:tcBorders>
              <w:top w:val="single" w:color="D9D9D9" w:sz="1"/>
              <w:left w:val="single" w:color="D9D9D9" w:sz="1"/>
              <w:bottom w:val="single" w:color="D9D9D9" w:sz="1"/>
              <w:right w:val="single" w:color="D9D9D9" w:sz="1"/>
            </w:tcBorders>
            <w:shd w:fill="DEEAF1"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20"/>
                <w:szCs w:val="20"/>
              </w:rPr>
              <w:t xml:space="preserve">O-6</w:t>
            </w:r>
          </w:p>
        </w:tc>
        <w:tc>
          <w:tcPr>
            <w:tcW w:type="dxa" w:w="32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Framework AI Governance di-review dan diperbarui sesuai jadwal</w:t>
            </w:r>
          </w:p>
        </w:tc>
        <w:tc>
          <w:tcPr>
            <w:tcW w:type="dxa" w:w="20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Tanggal review aktual vs jadwal yang ditetapkan</w:t>
            </w:r>
          </w:p>
        </w:tc>
        <w:tc>
          <w:tcPr>
            <w:tcW w:type="dxa" w:w="18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bCs/>
                <w:i w:val="false"/>
                <w:iCs w:val="false"/>
                <w:color w:val="375623"/>
                <w:sz w:val="20"/>
                <w:szCs w:val="20"/>
              </w:rPr>
              <w:t xml:space="preserve">Review dilakukan dalam ±30 hari dari jadwal</w:t>
            </w:r>
          </w:p>
        </w:tc>
        <w:tc>
          <w:tcPr>
            <w:tcW w:type="dxa" w:w="15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20"/>
                <w:szCs w:val="20"/>
              </w:rPr>
              <w:t xml:space="preserve">Tahunan</w:t>
            </w:r>
          </w:p>
        </w:tc>
      </w:tr>
    </w:tbl>
    <w:p>
      <w:pPr>
        <w:spacing w:after="80" w:before="80"/>
      </w:pPr>
      <w:r>
        <w:t xml:space="preserve"/>
      </w:r>
    </w:p>
    <w:p>
      <w:pPr>
        <w:pStyle w:val="Heading1"/>
        <w:pBdr>
          <w:bottom w:val="single" w:color="2E75B6" w:sz="8" w:space="4"/>
        </w:pBdr>
        <w:spacing w:after="160" w:before="320"/>
      </w:pPr>
      <w:r>
        <w:rPr>
          <w:rFonts w:ascii="Arial" w:cs="Arial" w:eastAsia="Arial" w:hAnsi="Arial"/>
          <w:b/>
          <w:bCs/>
          <w:color w:val="1B3A6B"/>
          <w:sz w:val="32"/>
          <w:szCs w:val="32"/>
        </w:rPr>
        <w:t xml:space="preserve">IV. RUANG LINGKUP PENERAPAN</w:t>
      </w:r>
    </w:p>
    <w:p>
      <w:pPr>
        <w:spacing w:after="60" w:before="80" w:line="276"/>
        <w:jc w:val="both"/>
      </w:pPr>
      <w:r>
        <w:rPr>
          <w:rFonts w:ascii="Arial" w:cs="Arial" w:eastAsia="Arial" w:hAnsi="Arial"/>
          <w:b w:val="false"/>
          <w:bCs w:val="false"/>
          <w:i w:val="false"/>
          <w:iCs w:val="false"/>
          <w:color w:val="1A1A1A"/>
          <w:sz w:val="22"/>
          <w:szCs w:val="22"/>
        </w:rPr>
        <w:t xml:space="preserve">Kebijakan ini berlaku untuk seluruh penggunaan AI di PT Equity Life Indonesia, mencakup seluruh direktorat: Business Directorate, Operation Directorate, Technology &amp; Information Directorate, Finance &amp; Investment Directorate, Human Capital Directorate, dan Compliance Directorate.</w:t>
      </w:r>
    </w:p>
    <w:p>
      <w:pPr>
        <w:spacing w:after="80" w:before="40" w:line="276"/>
        <w:jc w:val="both"/>
      </w:pPr>
      <w:r>
        <w:rPr>
          <w:rFonts w:ascii="Arial" w:cs="Arial" w:eastAsia="Arial" w:hAnsi="Arial"/>
          <w:b w:val="false"/>
          <w:bCs w:val="false"/>
          <w:i w:val="false"/>
          <w:iCs w:val="false"/>
          <w:color w:val="1A1A1A"/>
          <w:sz w:val="22"/>
          <w:szCs w:val="22"/>
        </w:rPr>
        <w:t xml:space="preserve">Kebijakan ini berlaku terhadap AI tools yang digunakan secara internal oleh karyawan maupun sistem AI yang berinteraksi langsung dengan nasabah. Vendor dan mitra pihak ketiga yang mengembangkan atau mengoperasikan sistem AI atas nama Perusahaan tunduk pada persyaratan kebijakan ini melalui perjanjian kontraktual.</w:t>
      </w:r>
    </w:p>
    <w:p>
      <w:pPr>
        <w:spacing w:after="40" w:before="40"/>
      </w:pPr>
      <w:r>
        <w:t xml:space="preserve"/>
      </w:r>
    </w:p>
    <w:p>
      <w:pPr>
        <w:pStyle w:val="Heading1"/>
        <w:pBdr>
          <w:bottom w:val="single" w:color="2E75B6" w:sz="8" w:space="4"/>
        </w:pBdr>
        <w:spacing w:after="160" w:before="320"/>
      </w:pPr>
      <w:r>
        <w:rPr>
          <w:rFonts w:ascii="Arial" w:cs="Arial" w:eastAsia="Arial" w:hAnsi="Arial"/>
          <w:b/>
          <w:bCs/>
          <w:color w:val="1B3A6B"/>
          <w:sz w:val="32"/>
          <w:szCs w:val="32"/>
        </w:rPr>
        <w:t xml:space="preserve">V. AKUNTABILITAS &amp; PENUGASAN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200"/>
        <w:gridCol w:w="5872"/>
      </w:tblGrid>
      <w:tr>
        <w:tc>
          <w:tcPr>
            <w:tcW w:type="dxa" w:w="32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Peran</w:t>
            </w:r>
          </w:p>
        </w:tc>
        <w:tc>
          <w:tcPr>
            <w:tcW w:type="dxa" w:w="5872"/>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Tanggung Jawab</w:t>
            </w:r>
          </w:p>
        </w:tc>
      </w:tr>
      <w:tr>
        <w:tc>
          <w:tcPr>
            <w:tcW w:type="dxa" w:w="32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President Director</w:t>
            </w:r>
          </w:p>
        </w:tc>
        <w:tc>
          <w:tcPr>
            <w:tcW w:type="dxa" w:w="58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Menetapkan dan mendukung kebijakan ini. Memastikan sumber daya yang memadai untuk program AI governance.</w:t>
            </w:r>
          </w:p>
        </w:tc>
      </w:tr>
      <w:tr>
        <w:tc>
          <w:tcPr>
            <w:tcW w:type="dxa" w:w="32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Komite Pengelola Teknologi Informasi</w:t>
            </w:r>
          </w:p>
        </w:tc>
        <w:tc>
          <w:tcPr>
            <w:tcW w:type="dxa" w:w="58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Persetujuan dan oversight seluruh kebijakan AI. Pelaporan ke Board. Approval penggunaan AI Kelas A.</w:t>
            </w:r>
          </w:p>
        </w:tc>
      </w:tr>
      <w:tr>
        <w:tc>
          <w:tcPr>
            <w:tcW w:type="dxa" w:w="32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IT Security &amp; Governance (Policy Owner)</w:t>
            </w:r>
          </w:p>
        </w:tc>
        <w:tc>
          <w:tcPr>
            <w:tcW w:type="dxa" w:w="58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Memelihara, menegakkan, dan memonitor kepatuhan kebijakan ini. Mengelola insiden AI.</w:t>
            </w:r>
          </w:p>
        </w:tc>
      </w:tr>
      <w:tr>
        <w:tc>
          <w:tcPr>
            <w:tcW w:type="dxa" w:w="32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Seluruh Kepala Direktorat / Unit</w:t>
            </w:r>
          </w:p>
        </w:tc>
        <w:tc>
          <w:tcPr>
            <w:tcW w:type="dxa" w:w="58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Memastikan kepatuhan di unit masing-masing. Menunjuk Business AI Champion. Menanggapi temuan audit.</w:t>
            </w:r>
          </w:p>
        </w:tc>
      </w:tr>
      <w:tr>
        <w:tc>
          <w:tcPr>
            <w:tcW w:type="dxa" w:w="32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Seluruh Karyawan</w:t>
            </w:r>
          </w:p>
        </w:tc>
        <w:tc>
          <w:tcPr>
            <w:tcW w:type="dxa" w:w="58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Mematuhi kebijakan ini dan AI AUP. Melaporkan insiden atau dugaan pelanggaran kepada IT Security.</w:t>
            </w:r>
          </w:p>
        </w:tc>
      </w:tr>
    </w:tbl>
    <w:p>
      <w:pPr>
        <w:spacing w:after="80" w:before="80"/>
      </w:pPr>
      <w:r>
        <w:t xml:space="preserve"/>
      </w:r>
    </w:p>
    <w:p>
      <w:pPr>
        <w:pStyle w:val="Heading1"/>
        <w:pBdr>
          <w:bottom w:val="single" w:color="2E75B6" w:sz="8" w:space="4"/>
        </w:pBdr>
        <w:spacing w:after="160" w:before="320"/>
      </w:pPr>
      <w:r>
        <w:rPr>
          <w:rFonts w:ascii="Arial" w:cs="Arial" w:eastAsia="Arial" w:hAnsi="Arial"/>
          <w:b/>
          <w:bCs/>
          <w:color w:val="1B3A6B"/>
          <w:sz w:val="32"/>
          <w:szCs w:val="32"/>
        </w:rPr>
        <w:t xml:space="preserve">VI. PENANDATANGANAN &amp; PENETAPAN</w:t>
      </w:r>
    </w:p>
    <w:p>
      <w:pPr>
        <w:spacing w:after="120" w:before="80" w:line="276"/>
        <w:jc w:val="both"/>
      </w:pPr>
      <w:r>
        <w:rPr>
          <w:rFonts w:ascii="Arial" w:cs="Arial" w:eastAsia="Arial" w:hAnsi="Arial"/>
          <w:b w:val="false"/>
          <w:bCs w:val="false"/>
          <w:i w:val="false"/>
          <w:iCs w:val="false"/>
          <w:color w:val="1A1A1A"/>
          <w:sz w:val="22"/>
          <w:szCs w:val="22"/>
        </w:rPr>
        <w:t xml:space="preserve">Kebijakan ini ditetapkan dan berlaku efektif sejak tanggal penandatanganan di bawah ini. Seluruh kebijakan AI sebelumnya yang bertentangan dengan dokumen ini dinyatakan tidak berlaku.</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1B3A6B" w:sz="1"/>
              <w:left w:val="single" w:color="1B3A6B" w:sz="1"/>
              <w:bottom w:val="single" w:color="1B3A6B" w:sz="1"/>
              <w:right w:val="single" w:color="1B3A6B" w:sz="1"/>
            </w:tcBorders>
            <w:shd w:fill="F2F2F2" w:val="clear"/>
            <w:tcMar>
              <w:top w:type="dxa" w:w="200"/>
              <w:left w:type="dxa" w:w="300"/>
              <w:bottom w:type="dxa" w:w="200"/>
              <w:right w:type="dxa" w:w="300"/>
            </w:tcMar>
          </w:tcPr>
          <w:p>
            <w:pPr>
              <w:spacing w:after="80" w:before="0"/>
              <w:jc w:val="center"/>
            </w:pPr>
            <w:r>
              <w:rPr>
                <w:rFonts w:ascii="Arial" w:cs="Arial" w:eastAsia="Arial" w:hAnsi="Arial"/>
                <w:i/>
                <w:iCs/>
                <w:color w:val="595959"/>
                <w:sz w:val="21"/>
                <w:szCs w:val="21"/>
              </w:rPr>
              <w:t xml:space="preserve">Ditetapkan di Jakarta, 1 April 2026</w:t>
            </w:r>
          </w:p>
          <w:p>
            <w:pPr>
              <w:spacing w:after="240" w:before="0"/>
              <w:jc w:val="center"/>
            </w:pPr>
            <w:r>
              <w:rPr>
                <w:rFonts w:ascii="Arial" w:cs="Arial" w:eastAsia="Arial" w:hAnsi="Arial"/>
                <w:color w:val="595959"/>
                <w:sz w:val="21"/>
                <w:szCs w:val="21"/>
              </w:rPr>
              <w:t xml:space="preserve">Atas nama Direksi PT Equity Life Indonesia</w:t>
            </w:r>
          </w:p>
          <w:p>
            <w:pPr>
              <w:spacing w:after="360" w:before="0"/>
              <w:jc w:val="center"/>
            </w:pPr>
            <w:r>
              <w:rPr>
                <w:rFonts w:ascii="Arial" w:cs="Arial" w:eastAsia="Arial" w:hAnsi="Arial"/>
                <w:sz w:val="22"/>
                <w:szCs w:val="22"/>
              </w:rPr>
              <w:t xml:space="preserve"/>
            </w:r>
          </w:p>
          <w:p>
            <w:pPr>
              <w:pBdr>
                <w:bottom w:val="single" w:color="1B3A6B" w:sz="4" w:space="2"/>
              </w:pBdr>
              <w:spacing w:after="0" w:before="0"/>
              <w:ind w:left="1800" w:right="1800"/>
              <w:jc w:val="center"/>
            </w:pPr>
            <w:r>
              <w:rPr>
                <w:rFonts w:ascii="Arial" w:cs="Arial" w:eastAsia="Arial" w:hAnsi="Arial"/>
                <w:sz w:val="22"/>
                <w:szCs w:val="22"/>
              </w:rPr>
              <w:t xml:space="preserve"/>
            </w:r>
          </w:p>
          <w:p>
            <w:pPr>
              <w:spacing w:after="0" w:before="40"/>
            </w:pPr>
            <w:r>
              <w:t xml:space="preserve"/>
            </w:r>
          </w:p>
          <w:p>
            <w:pPr>
              <w:spacing w:after="40" w:before="0"/>
              <w:jc w:val="center"/>
            </w:pPr>
            <w:r>
              <w:rPr>
                <w:rFonts w:ascii="Arial" w:cs="Arial" w:eastAsia="Arial" w:hAnsi="Arial"/>
                <w:b/>
                <w:bCs/>
                <w:color w:val="1B3A6B"/>
                <w:sz w:val="24"/>
                <w:szCs w:val="24"/>
              </w:rPr>
              <w:t xml:space="preserve">[ Nama President Director ]</w:t>
            </w:r>
          </w:p>
          <w:p>
            <w:pPr>
              <w:spacing w:after="40" w:before="0"/>
              <w:jc w:val="center"/>
            </w:pPr>
            <w:r>
              <w:rPr>
                <w:rFonts w:ascii="Arial" w:cs="Arial" w:eastAsia="Arial" w:hAnsi="Arial"/>
                <w:color w:val="595959"/>
                <w:sz w:val="22"/>
                <w:szCs w:val="22"/>
              </w:rPr>
              <w:t xml:space="preserve">President Director</w:t>
            </w:r>
          </w:p>
          <w:p>
            <w:pPr>
              <w:spacing w:after="0" w:before="0"/>
              <w:jc w:val="center"/>
            </w:pPr>
            <w:r>
              <w:rPr>
                <w:rFonts w:ascii="Arial" w:cs="Arial" w:eastAsia="Arial" w:hAnsi="Arial"/>
                <w:color w:val="595959"/>
                <w:sz w:val="22"/>
                <w:szCs w:val="22"/>
              </w:rPr>
              <w:t xml:space="preserve">PT Equity Life Indonesia</w:t>
            </w:r>
          </w:p>
        </w:tc>
      </w:tr>
    </w:tbl>
    <w:p>
      <w:pPr>
        <w:spacing w:after="60" w:before="60"/>
      </w:pPr>
      <w:r>
        <w:t xml:space="preserve"/>
      </w:r>
    </w:p>
    <w:p>
      <w:pPr>
        <w:pBdr>
          <w:left w:val="single" w:color="BF8F00" w:sz="14" w:space="10"/>
        </w:pBdr>
        <w:shd w:fill="FFFDE7" w:val="clear"/>
        <w:spacing w:after="120" w:before="120" w:line="276"/>
        <w:ind w:left="400"/>
      </w:pPr>
      <w:r>
        <w:rPr>
          <w:rFonts w:ascii="Arial" w:cs="Arial" w:eastAsia="Arial" w:hAnsi="Arial"/>
          <w:i/>
          <w:iCs/>
          <w:color w:val="1A1A1A"/>
          <w:sz w:val="21"/>
          <w:szCs w:val="21"/>
        </w:rPr>
        <w:t xml:space="preserve">Dokumen ini wajib ditinjau ulang setiap 1 (satu) tahun atau apabila terdapat perubahan regulasi yang material. Versi terbaru dari dokumen ini selalu dapat diakses melalui portal internal IT Security &amp; Governance.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jc w:val="center"/>
    </w:pPr>
    <w:r>
      <w:rPr>
        <w:rFonts w:ascii="Arial" w:cs="Arial" w:eastAsia="Arial" w:hAnsi="Arial"/>
        <w:color w:val="595959"/>
        <w:sz w:val="18"/>
        <w:szCs w:val="18"/>
      </w:rPr>
      <w:t xml:space="preserve">Halaman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dari </w:t>
    </w:r>
    <w:r>
      <w:rPr>
        <w:rFonts w:ascii="Arial" w:cs="Arial" w:eastAsia="Arial" w:hAnsi="Arial"/>
        <w:color w:val="595959"/>
        <w:sz w:val="18"/>
        <w:szCs w:val="18"/>
      </w:rPr>
      <w:fldChar w:fldCharType="begin"/>
      <w:instrText xml:space="preserve">NUMPAGES</w:instrText>
      <w:fldChar w:fldCharType="separate"/>
      <w:fldChar w:fldCharType="end"/>
    </w:r>
    <w:r>
      <w:rPr>
        <w:rFonts w:ascii="Arial" w:cs="Arial" w:eastAsia="Arial" w:hAnsi="Arial"/>
        <w:color w:val="595959"/>
        <w:sz w:val="18"/>
        <w:szCs w:val="18"/>
      </w:rPr>
      <w:t xml:space="preserve">   |   ITSG-POL-AI-2026-001   |   Versi 1.0   |   1 April 2026   |   INTERNAL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60"/>
      <w:jc w:val="right"/>
    </w:pPr>
    <w:r>
      <w:rPr>
        <w:rFonts w:ascii="Arial" w:cs="Arial" w:eastAsia="Arial" w:hAnsi="Arial"/>
        <w:color w:val="595959"/>
        <w:sz w:val="16"/>
        <w:szCs w:val="16"/>
      </w:rPr>
      <w:t xml:space="preserve">PT Equity Life Indonesia  —  AI Policy Statement  |  ITSG-POL-AI-2026-001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720" w:hanging="360"/>
      </w:pPr>
    </w:lvl>
  </w:abstractNum>
  <w:abstractNum w:abstractNumId="3" w15:restartNumberingAfterBreak="0">
    <w:multiLevelType w:val="hybridMultilevel"/>
    <w:lvl w:ilvl="0" w15:tentative="1">
      <w:start w:val="1"/>
      <w:numFmt w:val="decimal"/>
      <w:lvlText w:val="%1."/>
      <w:lvlJc w:val="left"/>
      <w:pPr>
        <w:spacing w:after="40" w:before="40"/>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2026-03-27T06:33:46.477Z</dcterms:created>
  <dcterms:modified xsi:type="dcterms:W3CDTF">2026-03-27T06:33:46.478Z</dcterms:modified>
</cp:coreProperties>
</file>

<file path=docProps/custom.xml><?xml version="1.0" encoding="utf-8"?>
<Properties xmlns="http://schemas.openxmlformats.org/officeDocument/2006/custom-properties" xmlns:vt="http://schemas.openxmlformats.org/officeDocument/2006/docPropsVTypes"/>
</file>