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PT EQUITY LIFE INDONESIA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Technology &amp; Information Directorate  —  IT Security &amp; Governance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STANDARD OPERATING PROCEDURE  </w:t>
      </w:r>
    </w:p>
    <w:p>
      <w:pPr>
        <w:shd w:fill="2E75B6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Penggunaan Alat Bantu Kecerdasan Buatan (AI Tools)  </w:t>
      </w:r>
    </w:p>
    <w:p>
      <w:pPr>
        <w:shd w:fill="DEEAF1" w:val="clear"/>
        <w:spacing w:after="400" w:before="0"/>
        <w:jc w:val="center"/>
      </w:pPr>
      <w:r>
        <w:rPr>
          <w:rFonts w:ascii="Arial" w:cs="Arial" w:eastAsia="Arial" w:hAnsi="Arial"/>
          <w:color w:val="1B3A6B"/>
          <w:sz w:val="21"/>
          <w:szCs w:val="21"/>
        </w:rPr>
        <w:t xml:space="preserve">  Mencakup: Onboarding • Penggunaan Harian • Pelaporan Insiden • Offboarding  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ITSG-SOP-AI-2026-001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</w:t>
            </w:r>
          </w:p>
        </w:tc>
        <w:tc>
          <w:tcPr>
            <w:tcW w:type="dxa" w:w="6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6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April 2026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6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Security &amp; Governance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Berlaku Untuk</w:t>
            </w:r>
          </w:p>
        </w:tc>
        <w:tc>
          <w:tcPr>
            <w:tcW w:type="dxa" w:w="6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Seluruh pengguna AI Tools yang disediakan PT Equity Life Indonesia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Dokumen Terkait</w:t>
            </w:r>
          </w:p>
        </w:tc>
        <w:tc>
          <w:tcPr>
            <w:tcW w:type="dxa" w:w="6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Policy Statement (ITSG-POL-AI-2026-001) • AI Governance Framework (ITSG-GOV-AI-2026-001) • AI AUP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Referensi Standar</w:t>
            </w:r>
          </w:p>
        </w:tc>
        <w:tc>
          <w:tcPr>
            <w:tcW w:type="dxa" w:w="6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ISO/IEC 42001:2023 Klausul 8 (Operation) • UU PDP No. 27/2022 • POJK No. 11/2022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3A6B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SOP-01 — ONBOARDING PENGGUNA AI BARU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Tujuan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Memastikan setiap karyawan yang akan menggunakan AI tools telah memahami kebijakan, menerima training yang diperlukan, dan menandatangani pernyataan kepatuhan sebelum akun diaktifkan.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Penanggung Jawab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Peran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Atasan Langsung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Mengajukan permintaan akun AI untuk anggota tim baru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Security &amp; Governance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Memverifikasi kelengkapan persyaratan, mengaktifkan akun, menyimpan dokumen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People Development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Menyelenggarakan training AI AUP dan mengeluarkan bukti penyelesaian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Calon Pengguna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Menyelesaikan training, membaca AI AUP, menandatangani pernyataan kepatuhan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Alur Prosedur</w:t>
      </w:r>
    </w:p>
    <w:p>
      <w:pPr>
        <w:spacing w:after="40" w:before="4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Pengajuan Permintaan Akun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Atasan langsung mengisi Form Permintaan Akun AI (Lampiran 1) dan mengajukan ke IT Security melalui IT helpdesk/email resmi. Cantumkan: nama, jabatan, unit, jenis AI tools, dan justifikasi kebutuhan.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Verifikasi Eligibilitas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Security memverifikasi bahwa pemohon termasuk dalam daftar user yang diizinkan berdasarkan AI Governance Framework. Kelas C (produktivitas internal): proses cepat. Kelas B/A: perlu approval Komite TI terlebih dahulu.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Penugasan Training Wajib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People Development menjadwalkan sesi Onboarding AI Essentials untuk calon pengguna. Training wajib mencakup: fitur &amp; batas kemampuan AI, klasifikasi data, AI AUP, larangan input data RESTRICTED, dan secure coding practice (untuk Developer).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Penyelesaian Training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Calon pengguna menyelesaikan training dan lulus evaluasi (nilai minimal 75). People Development mengeluarkan bukti penyelesaian training (certificate of completion).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Penandatanganan AI AUP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Calon pengguna membaca dan menandatangani Pernyataan Kepatuhan AI AUP (Lampiran AI Governance Framework). Atasan langsung ikut menandatangani sebagai mengetahui. Dokumen dikirim ke IT Security dan salinan ke HR.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Aktivasi Akun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Security mengaktifkan akun AI tools (contoh: tambah user di AI Tools (Enterprise) admin panel). Konfigurasikan: "Do not train on data" diaktifkan, role sesuai kebutuhan, dicatat di register pengguna AI aktif.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Notifikasi &amp; Orientasi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Security mengirimkan email konfirmasi aktivasi akun kepada pengguna dan atasan, berisi: kredensial akun, reminder larangan berbagi akun, kanal pelaporan insiden, dan link ke AI AUP terbaru.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Waktu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2"/>
      </w:tblGrid>
      <w:tr>
        <w:tc>
          <w:tcPr>
            <w:tcW w:type="dxa" w:w="4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5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Selesai</w:t>
            </w:r>
          </w:p>
        </w:tc>
      </w:tr>
      <w:tr>
        <w:tc>
          <w:tcPr>
            <w:tcW w:type="dxa" w:w="4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Verifikasi eligibilitas oleh IT Security</w:t>
            </w:r>
          </w:p>
        </w:tc>
        <w:tc>
          <w:tcPr>
            <w:tcW w:type="dxa" w:w="5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hari kerja setelah pengajuan</w:t>
            </w:r>
          </w:p>
        </w:tc>
      </w:tr>
      <w:tr>
        <w:tc>
          <w:tcPr>
            <w:tcW w:type="dxa" w:w="4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Penyelesaian training (Kelas C)</w:t>
            </w:r>
          </w:p>
        </w:tc>
        <w:tc>
          <w:tcPr>
            <w:tcW w:type="dxa" w:w="5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Maksimal 3 hari kerja</w:t>
            </w:r>
          </w:p>
        </w:tc>
      </w:tr>
      <w:tr>
        <w:tc>
          <w:tcPr>
            <w:tcW w:type="dxa" w:w="4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Penandatanganan AUP</w:t>
            </w:r>
          </w:p>
        </w:tc>
        <w:tc>
          <w:tcPr>
            <w:tcW w:type="dxa" w:w="5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hari kerja setelah training selesai</w:t>
            </w:r>
          </w:p>
        </w:tc>
      </w:tr>
      <w:tr>
        <w:tc>
          <w:tcPr>
            <w:tcW w:type="dxa" w:w="4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Aktivasi akun</w:t>
            </w:r>
          </w:p>
        </w:tc>
        <w:tc>
          <w:tcPr>
            <w:tcW w:type="dxa" w:w="5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hari kerja setelah AUP diterima IT Security</w:t>
            </w:r>
          </w:p>
        </w:tc>
      </w:tr>
      <w:tr>
        <w:tc>
          <w:tcPr>
            <w:tcW w:type="dxa" w:w="4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(Kelas C fast-track)</w:t>
            </w:r>
          </w:p>
        </w:tc>
        <w:tc>
          <w:tcPr>
            <w:tcW w:type="dxa" w:w="5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Maksimal 5 hari kerja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3A6B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SOP-02 — PANDUAN PENGGUNAAN HARIAN AI TOOLS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Tujuan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Memberikan panduan operasional step-by-step bagi pengguna dalam menggunakan AI tools secara aman dan efektif setiap harinya.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Pre-Input (Wajib Dilakukan Sebelum Setiap Sesi)</w:t>
      </w:r>
    </w:p>
    <w:p>
      <w:pPr>
        <w:pBdr>
          <w:left w:val="single" w:color="BF8F00" w:sz="14" w:space="10"/>
        </w:pBdr>
        <w:shd w:fill="FFFDE7" w:val="clear"/>
        <w:spacing w:after="120" w:before="120" w:line="276"/>
        <w:ind w:left="40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Tempelkan checklist ini di dekat workstation atau simpan sebagai bookmark. Habituasi checklist ini akan menjadi second-nature dalam 2–3 minggu pertama.</w:t>
      </w:r>
    </w:p>
    <w:p>
      <w:pPr>
        <w:spacing w:after="6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472"/>
      </w:tblGrid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Pertanyaan Sebelum Input</w:t>
            </w:r>
          </w:p>
        </w:tc>
        <w:tc>
          <w:tcPr>
            <w:tcW w:type="dxa" w:w="1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Apakah data yang akan saya input mengandung nama nasabah, nomor polis, NIK, data medis, atau informasi identitas pribadi lainnya?</w:t>
            </w:r>
          </w:p>
        </w:tc>
        <w:tc>
          <w:tcPr>
            <w:tcW w:type="dxa" w:w="1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Ya → STOP
[  ] Tidak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Apakah data mengandung API key, password, token, secret, atau nilai kredensial sistem lainnya?</w:t>
            </w:r>
          </w:p>
        </w:tc>
        <w:tc>
          <w:tcPr>
            <w:tcW w:type="dxa" w:w="1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Ya → STOP
[  ] Tidak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Apakah ini source code dari sistem production yang mengandung connection string database, URL endpoint internal, atau nama tabel production?</w:t>
            </w:r>
          </w:p>
        </w:tc>
        <w:tc>
          <w:tcPr>
            <w:tcW w:type="dxa" w:w="1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Ya → STOP
[  ] Tidak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Apakah ini file log yang belum di-anonymize dan berpotensi mengandung username atau data transaksi?</w:t>
            </w:r>
          </w:p>
        </w:tc>
        <w:tc>
          <w:tcPr>
            <w:tcW w:type="dxa" w:w="1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Ya → STOP
[  ] Tidak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Apakah data termasuk informasi keuangan internal perusahaan (neraca, P&amp;L aktual, data investasi) yang belum dipublikasikan?</w:t>
            </w:r>
          </w:p>
        </w:tc>
        <w:tc>
          <w:tcPr>
            <w:tcW w:type="dxa" w:w="1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Ya → STOP
[  ] Tidak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Semua jawaban TIDAK → Data aman untuk diinput ke AI tools.</w:t>
            </w:r>
          </w:p>
        </w:tc>
        <w:tc>
          <w:tcPr>
            <w:tcW w:type="dxa" w:w="1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LANJUTKAN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Panduan Penggunaan per Role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Developer &amp; Tech Lead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BOLEH: "Buatkan fungsi Python untuk validasi format nomor polis dengan pola [X-XXXXXXXX]" — abstraksi logika, tidak ada data aktual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BOLEH: "Review pseudocode ini dan identifikasi potensi bug pada logika kondisional di baris 15-22"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BOLEH: "Jelaskan perbedaan antara JWT dan session-based authentication untuk kebutuhan aplikasi asuransi"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TIDAK BOLEH: Paste full source code dari core system yang mengandung nama database, connection string, atau URL API internal production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TIDAK BOLEH: "Ini log error dari server production: [log file yang berisi username dan IP internal] — bantu saya debug"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BEST PRACTICE: Selalu gunakan placeholder generik (YOUR_API_KEY, DB_HOST, USER_ID_HERE) ketika meminta AI Tools membuat contoh kode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Business Analyst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BOLEH: "Bantu saya menyusun user story untuk fitur self-service klaim nasabah dengan format Given-When-Then"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BOLEH: "Review BRD ini dari segi kelengkapan dan konsistensi — [BRD yang sudah dihilangkan nama nasabah dan data spesifik]"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BOLEH: "Buatkan template process flow untuk alur underwriting standard"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TIDAK BOLEH: Upload atau paste dokumen yang mengandung data nasabah aktual sebagai bahan analisis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TIDAK BOLEH: "Analisis data ini: [Excel export dari database nasabah dengan kolom nama, NIK, premi]"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BEST PRACTICE: Jika perlu menganalisis pola data, gunakan data agregat atau data sintetis yang sudah di-generate tanpa mengandung data individu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Semua Pengguna — Praktik Umum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Buat Project terpisah di AI Tools (Enterprise) per kategori pekerjaan (misal: "Coding Projects", "Documentation", "Analysis") agar konteks tidak bercampur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Hapus percakapan yang mengandung informasi sensitif perusahaan setelah sesi selesai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Jangan simpan screenshot percakapan AI Tools yang mengandung informasi internal perusahaan di cloud storage pribadi atau aplikasi chat personal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Selalu review output AI sebelum digunakan secara resmi. Output AI bisa mengandung hallucination — terutama untuk fakta, angka, dan referensi regulasi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Jika output AI akan digunakan dalam dokumen resmi atau komunikasi ke nasabah, wajib divalidasi oleh human expert terlebih dahulu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Pengelolaan Output AI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72"/>
      </w:tblGrid>
      <w:tr>
        <w:tc>
          <w:tcPr>
            <w:tcW w:type="dxa" w:w="2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Jenis Output</w:t>
            </w:r>
          </w:p>
        </w:tc>
        <w:tc>
          <w:tcPr>
            <w:tcW w:type="dxa" w:w="3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Penggunaan yang Diizinkan</w:t>
            </w:r>
          </w:p>
        </w:tc>
        <w:tc>
          <w:tcPr>
            <w:tcW w:type="dxa" w:w="3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Yang TIDAK Diizinkan</w:t>
            </w:r>
          </w:p>
        </w:tc>
      </w:tr>
      <w:tr>
        <w:tc>
          <w:tcPr>
            <w:tcW w:type="dxa" w:w="2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Kode / Script</w:t>
            </w:r>
          </w:p>
        </w:tc>
        <w:tc>
          <w:tcPr>
            <w:tcW w:type="dxa" w:w="3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Digunakan setelah review Tech Lead. Nilai placeholder harus diganti dengan mekanisme environment variable yang benar.</w:t>
            </w:r>
          </w:p>
        </w:tc>
        <w:tc>
          <w:tcPr>
            <w:tcW w:type="dxa" w:w="3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Langsung deploy ke production tanpa review. Copy-paste credential aktual dari output AI ke repository.</w:t>
            </w:r>
          </w:p>
        </w:tc>
      </w:tr>
      <w:tr>
        <w:tc>
          <w:tcPr>
            <w:tcW w:type="dxa" w:w="2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Dokumen / Laporan</w:t>
            </w:r>
          </w:p>
        </w:tc>
        <w:tc>
          <w:tcPr>
            <w:tcW w:type="dxa" w:w="3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Digunakan sebagai draft awal yang kemudian divalidasi dan difinalisasi oleh manusia yang berwenang.</w:t>
            </w:r>
          </w:p>
        </w:tc>
        <w:tc>
          <w:tcPr>
            <w:tcW w:type="dxa" w:w="3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Dikirim ke nasabah atau regulator tanpa review manusia. Dijadikan output resmi langsung.</w:t>
            </w:r>
          </w:p>
        </w:tc>
      </w:tr>
      <w:tr>
        <w:tc>
          <w:tcPr>
            <w:tcW w:type="dxa" w:w="2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Analisis / Rekomendasi</w:t>
            </w:r>
          </w:p>
        </w:tc>
        <w:tc>
          <w:tcPr>
            <w:tcW w:type="dxa" w:w="3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Digunakan sebagai bahan pertimbangan. Harus dikonfirmasi dengan sumber yang dapat diverifikasi.</w:t>
            </w:r>
          </w:p>
        </w:tc>
        <w:tc>
          <w:tcPr>
            <w:tcW w:type="dxa" w:w="3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Dijadikan dasar keputusan bisnis tanpa validasi independen. Dikutip sebagai fakta tanpa verifikasi.</w:t>
            </w:r>
          </w:p>
        </w:tc>
      </w:tr>
      <w:tr>
        <w:tc>
          <w:tcPr>
            <w:tcW w:type="dxa" w:w="2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Informasi Regulasi / Hukum</w:t>
            </w:r>
          </w:p>
        </w:tc>
        <w:tc>
          <w:tcPr>
            <w:tcW w:type="dxa" w:w="3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Digunakan sebagai titik awal riset. Wajib diverifikasi ke sumber primer (regulasi asli, Legal team).</w:t>
            </w:r>
          </w:p>
        </w:tc>
        <w:tc>
          <w:tcPr>
            <w:tcW w:type="dxa" w:w="3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Dijadikan dasar keputusan compliance tanpa konfirmasi Legal &amp; Compliance team.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3A6B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SOP-03 — PELAPORAN &amp; PENANGANAN INSIDEN 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Tujuan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Memastikan setiap insiden yang berkaitan dengan penggunaan AI dilaporkan, ditangani, dan didokumentasikan secara tepat waktu sesuai kewajiban regulasi.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Definisi Insiden AI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000"/>
        <w:gridCol w:w="2472"/>
      </w:tblGrid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Contoh Insiden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SLA Respons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Input data RESTRICTED (PII nasabah, kredensial sistem) ke AI tools. Dugaan exfiltrasi data melalui AI.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Lapor dalam 1 jam. Triage dalam 2 jam. Eskalasi ke CISO dan Compliance.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Penggunaan AI tools tidak terotorisasi (Shadow AI). Akun AI diakses pihak tidak berwenang. Prompt injection yang terdeteksi.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6B0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Lapor dalam 4 jam. Triage dalam 8 jam.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Input data Confidential tanpa izin. Berbagi akun AI. Output AI digunakan tanpa review untuk dokumen resmi.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Lapor dalam 1 hari kerja. Investigasi dalam 3 hari kerja.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Pelanggaran minor AI AUP. Keluhan tentang kualitas output AI. Pertanyaan tentang batas penggunaan.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LOW</w:t>
            </w:r>
          </w:p>
        </w:tc>
        <w:tc>
          <w:tcPr>
            <w:tcW w:type="dxa" w:w="24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Lapor dalam 2 hari kerja.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Alur Pelaporan</w:t>
      </w:r>
    </w:p>
    <w:p>
      <w:pPr>
        <w:spacing w:after="40" w:before="4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Deteksi Insiden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Siapapun yang mendeteksi insiden (pengguna sendiri, rekan kerja, atau sistem monitoring) wajib segera melaporkan. Jangan menunggu untuk memastikan dulu — lebih baik false positive daripada terlambat lapor.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Laporkan ke IT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Kirim laporan insiden melalui: (a) Email darurat IT Security: itsecurity@equitylife.co.id, atau (b) IT Helpdesk ticketing system dengan kategori "AI Security Incident". Untuk CRITICAL: hubungi langsung via telepon/WhatsApp ke nomor on-call IT Security.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Isi Form Laporan Insiden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Isi Form Laporan Insiden AI (Lampiran 2 SOP ini) sedetail mungkin: tanggal/waktu, deskripsi kejadian, data apa yang berpotensi terekspos, akun AI yang digunakan, dan tindakan yang sudah diambil.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Tindakan Segera oleh Pelapor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Sambil menunggu respons IT Security: (a) Jangan menghapus percakapan terkait — ini adalah bukti forensik. (b) Jangan melanjutkan penggunaan akun yang bermasalah. (c) Informasikan atasan langsung.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Triage oleh IT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Security melakukan triage untuk menentukan severity, scope dampak, dan langkah containment. Jika CRITICAL: langsung eskalasi ke CISO, Risk Management, dan Legal &amp; Compliance.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Investigasi &amp; Containment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Security melakukan investigasi forensik digital, mengidentifikasi data yang terekspos, dan mengisolasi akun yang bermasalah. Risk Management menilai kewajiban pelaporan regulasi.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Pelaporan Regulasi (jika diperlukan)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Jika investigasi mengkonfirmasi data pribadi terdampak: Legal &amp; Compliance melaporkan ke Kominfo dalam 14×24 jam (UU PDP Pasal 46). Notifikasi ke OJK jika relevan dengan operasional inti.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Recovery &amp; Dokumentasi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Pulihkan akses dengan kontrol yang diperkuat. Dokumentasikan insiden di AI Incident Register. Lakukan post-mortem dan update SOP/kebijakan jika diperlukan. Laporkan ke Internal Audit.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Kontak Darurat IT Security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Kontak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IT Security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itsecurity@equitylife.co.id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Helpdesk Ticketing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[URL sistem helpdesk internal]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Nomor On-Call (CRITICAL/HIGH)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[Nomor telepon/WhatsApp on-call IT Security — diisi oleh IT Security]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CISO / IT Security Lead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[Nama &amp; kontak — diisi oleh HR]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3A6B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SOP-04 — OFFBOARDING PENGGUNA AI (JOINERS-MOVERS-LEAVERS)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Tujuan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Memastikan akun AI karyawan yang mengalami perubahan status (resign, mutasi, promosi, cuti panjang) ditangani secara tepat waktu untuk mencegah akses tidak sah.</w:t>
      </w:r>
    </w:p>
    <w:p>
      <w:pPr>
        <w:spacing w:after="40" w:before="4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2172"/>
        <w:gridCol w:w="2000"/>
      </w:tblGrid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3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Tindakan yang Diperlukan</w:t>
            </w:r>
          </w:p>
        </w:tc>
        <w:tc>
          <w:tcPr>
            <w:tcW w:type="dxa" w:w="21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LEAVER (Resign / PHK)</w:t>
            </w:r>
          </w:p>
        </w:tc>
        <w:tc>
          <w:tcPr>
            <w:tcW w:type="dxa" w:w="3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Nonaktifkan akun AI di hari terakhir kerja. Hapus data percakapan jika memungkinkan melalui admin panel. Update register pengguna AI aktif.</w:t>
            </w:r>
          </w:p>
        </w:tc>
        <w:tc>
          <w:tcPr>
            <w:tcW w:type="dxa" w:w="21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Hari kerja terakhir (H+0)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/ HR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6B0A"/>
                <w:sz w:val="20"/>
                <w:szCs w:val="20"/>
              </w:rPr>
              <w:t xml:space="preserve">MOVER (Mutasi antar unit)</w:t>
            </w:r>
          </w:p>
        </w:tc>
        <w:tc>
          <w:tcPr>
            <w:tcW w:type="dxa" w:w="3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apakah role baru memerlukan akses AI yang sama. Jika berbeda, update izin akun. Lakukan re-briefing AUP untuk konteks unit baru jika perlu.</w:t>
            </w:r>
          </w:p>
        </w:tc>
        <w:tc>
          <w:tcPr>
            <w:tcW w:type="dxa" w:w="21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Dalam 3 hari kerja setelah mutasi efektif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/ Atasan Baru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MOVER (Promosi)</w:t>
            </w:r>
          </w:p>
        </w:tc>
        <w:tc>
          <w:tcPr>
            <w:tcW w:type="dxa" w:w="3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Evaluasi apakah perlu upgrade akses AI sesuai role baru. Pastikan training AUP untuk tanggung jawab baru telah selesai.</w:t>
            </w:r>
          </w:p>
        </w:tc>
        <w:tc>
          <w:tcPr>
            <w:tcW w:type="dxa" w:w="21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Dalam 5 hari kerja setelah promosi efektif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/ Atasan Baru</w:t>
            </w:r>
          </w:p>
        </w:tc>
      </w:tr>
      <w:tr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Cuti Panjang (&gt; 30 hari)</w:t>
            </w:r>
          </w:p>
        </w:tc>
        <w:tc>
          <w:tcPr>
            <w:tcW w:type="dxa" w:w="33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Suspend (bukan delete) akun AI. Reaktivasi saat karyawan kembali aktif dengan re-signing AUP terbaru.</w:t>
            </w:r>
          </w:p>
        </w:tc>
        <w:tc>
          <w:tcPr>
            <w:tcW w:type="dxa" w:w="21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Hari pertama cuti panjang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/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4" w:space="10"/>
        </w:pBdr>
        <w:shd w:fill="DEEAF1" w:val="clear"/>
        <w:spacing w:after="120" w:before="120" w:line="276"/>
        <w:ind w:left="40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IT Security melakukan review bulanan terhadap daftar pengguna AI aktif dan mencocokkannya dengan data karyawan aktif di HRIS. Akun yang statusnya tidak jelas akan di-suspend sementara hingga dikonfirmasi.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3A6B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SOP-05 — PERMOHONAN PENGGUNAAN AI UNTUK USE CASE BARU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Tujuan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Mengatur proses formal pengajuan, evaluasi, dan approval ketika unit bisnis ingin menggunakan AI untuk use case yang belum pernah dilakukan sebelumnya atau menggunakan AI tools baru yang belum disetujui.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Alur Proses</w:t>
      </w:r>
    </w:p>
    <w:p>
      <w:pPr>
        <w:spacing w:after="40" w:before="4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Identifikasi Use Case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Unit bisnis mengidentifikasi kebutuhan penggunaan AI dan mengisi AI Use Case Submission Form (ada di Lampiran B AI Governance Framework). Tentukan kelas risiko awal: A, B, atau C.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Konsultasi Awal dengan IT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Sebelum mengisi form secara resmi, unit bisnis dapat melakukan konsultasi informal dengan IT Security untuk mendapat panduan awal tentang klasifikasi risiko dan persyaratan yang perlu disiapkan.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Submission Form Resmi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Kirim AI Use Case Submission Form yang telah diisi lengkap ke IT Security. Sertakan: deskripsi use case, AI tools yang diusulkan, jenis data yang akan diproses, dan estimasi jumlah pengguna.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IT Security Assessment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Security melakukan security assessment terhadap: (a) tools AI yang diusulkan (TPRM jika vendor baru), (b) risiko data yang terlibat, (c) kecukupan kontrol yang diusulkan. Target: 5 hari kerja untuk Kelas C, 10 hari kerja untuk Kelas B/A.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DPIA &amp; Review Legal (Kelas A/B)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Jika use case melibatkan data pribadi: Risk Management melakukan DPIA. Legal &amp; Compliance mereviw kebutuhan DPA dan kewajiban pelaporan ke Kominfo/OJK. Target: 10 hari kerja.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Approval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Kelas C: Approved oleh IT Security. Kelas B: Approved oleh IT Security + Risk Management + Komite TI. Kelas A: Approved oleh Komite TI + Komite Manajemen Risiko. Hasil approval dicatat dalam register use case AI.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Implementasi &amp; Go-Live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Setelah approved: onboarding pengguna (SOP-01), konfigurasi monitoring (SIEM/proxy), dan aktivasi use case. IT Security melakukan post-implementation review dalam 30 hari setelah go-live.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3A6B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SOP-06 — MONITORING BERKALA &amp; REVIEW TAHUNAN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Tujuan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Memastikan penggunaan AI tools berjalan sesuai kebijakan yang ditetapkan melalui monitoring berkelanjutan dan review tahunan yang terstruktur.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Kalender Monitoring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400"/>
        <w:gridCol w:w="1972"/>
      </w:tblGrid>
      <w:tr>
        <w:tc>
          <w:tcPr>
            <w:tcW w:type="dxa" w:w="1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Frekuensi</w:t>
            </w:r>
          </w:p>
        </w:tc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9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Harian</w:t>
            </w:r>
          </w:p>
        </w:tc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 alert monitoring: anomali volume data, akses di luar jam kerja, akses dari user tidak terotorisasi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Security (automated + on-call)</w:t>
            </w:r>
          </w:p>
        </w:tc>
        <w:tc>
          <w:tcPr>
            <w:tcW w:type="dxa" w:w="19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Alert log. Eskalasi jika threshold tercapai.</w:t>
            </w:r>
          </w:p>
        </w:tc>
      </w:tr>
      <w:tr>
        <w:tc>
          <w:tcPr>
            <w:tcW w:type="dxa" w:w="1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Mingguan</w:t>
            </w:r>
          </w:p>
        </w:tc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log akses ke platform AI Tools di proxy/firewall. Cek anomali volume upload. Verifikasi tidak ada akun baru yang aktif tanpa melalui SOP-01.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19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 monitoring report (internal)</w:t>
            </w:r>
          </w:p>
        </w:tc>
      </w:tr>
      <w:tr>
        <w:tc>
          <w:tcPr>
            <w:tcW w:type="dxa" w:w="1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Bulanan</w:t>
            </w:r>
          </w:p>
        </w:tc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Rekonsiliasi daftar pengguna AI aktif vs data karyawan aktif di HRIS. Suspend akun yang sudah tidak relevan.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/ HR</w:t>
            </w:r>
          </w:p>
        </w:tc>
        <w:tc>
          <w:tcPr>
            <w:tcW w:type="dxa" w:w="19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reconciliation report</w:t>
            </w:r>
          </w:p>
        </w:tc>
      </w:tr>
      <w:tr>
        <w:tc>
          <w:tcPr>
            <w:tcW w:type="dxa" w:w="1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Triwulanan</w:t>
            </w:r>
          </w:p>
        </w:tc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Self-assessment kepatuhan AUP oleh seluruh pengguna (kuesioner). Review use case AI aktif apakah masih relevan dan sesuai klasifikasi. Laporan ke Komite TI.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Security + Atasan Pengguna</w:t>
            </w:r>
          </w:p>
        </w:tc>
        <w:tc>
          <w:tcPr>
            <w:tcW w:type="dxa" w:w="19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 report ke Komite TI</w:t>
            </w:r>
          </w:p>
        </w:tc>
      </w:tr>
      <w:tr>
        <w:tc>
          <w:tcPr>
            <w:tcW w:type="dxa" w:w="1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Tahunan</w:t>
            </w:r>
          </w:p>
        </w:tc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Annual AI Audit oleh Internal Audit. Review dan update AI Governance Framework, AI Policy Statement, dan SOP ini. Re-signing AI AUP seluruh pengguna. Evaluasi pencapaian AI Objectives.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Audit + IT Security</w:t>
            </w:r>
          </w:p>
        </w:tc>
        <w:tc>
          <w:tcPr>
            <w:tcW w:type="dxa" w:w="19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Annual Audit Report ke Komite Audit dan 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Review Tahunan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 seluruh use case AI yang aktif — masih relevan? Ada perubahan risiko? Perlu re-klasifikasi?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 DPA dengan vendor AI — masih berlaku? Ada perubahan kebijakan dari vendor?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 regulasi terbaru — ada perubahan UU PDP, POJK, atau standar ISO 42001 yang perlu diakomodasi?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 AI Objectives — target tercapai? Perlu diperbarui untuk tahun berikutnya?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Re-signing AI AUP oleh seluruh pengguna aktif — gunakan versi terbaru AUP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Evaluasi insiden AI selama 1 tahun terakhir — ada pola? Perlu perbaikan kebijakan?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Update Risk Register AI berdasarkan temuan monitoring dan audit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Pastikan training AI AUP sudah dijadwalkan untuk seluruh karyawan baru yang bergabung</w:t>
      </w:r>
    </w:p>
    <w:p>
      <w:pPr>
        <w:spacing w:after="60" w:before="60"/>
      </w:pPr>
      <w:r>
        <w:t xml:space="preserve"/>
      </w:r>
    </w:p>
    <w:p>
      <w:pPr>
        <w:pBdr>
          <w:left w:val="single" w:color="00695C" w:sz="14" w:space="10"/>
        </w:pBdr>
        <w:shd w:fill="E0F2F1" w:val="clear"/>
        <w:spacing w:after="120" w:before="120" w:line="276"/>
        <w:ind w:left="40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Hasil review tahunan dan pencapaian AI Objectives dilaporkan kepada Komite Pengelola Teknologi Informasi dan dikomunikasikan kepada Komite Pemantau Risiko di Board level, sesuai persyaratan ISO/IEC 42001:2023 Klausul 9.3 (Management Review).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3A6B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LAMPIRAN — FORM &amp; TEMPLATE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Lampiran 1 — Form Permintaan Akun AI (SOP-01)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Nomor Form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 diisi IT Security ]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Tanggal Pengajuan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Nama Pemohon (Atasan Langsung)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Nama Calon Pengguna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NIK Calon Pengguna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Jabatan &amp; Direktorat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Tools yang Diminta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AI Tools (Enterprise)   [  ] Lainnya: ______________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Kelas Risiko Use Case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Kelas C (Produktivitas Internal)   [  ] Kelas B   [  ] Kelas A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Justifikasi Kebutuhan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Konfirmasi Training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Training AUP telah dijadwalkan    Tanggal: ____________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Tanda Tangan Pemohon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Nama: _______________    Tanda Tangan: _______________    Tanggal: _______________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Diproses oleh IT Security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Approved    [  ] Ditolak    [  ] Pending (alasan: _____________)
Nama: _______________    Tanggal: 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Lampiran 2 — Form Laporan Insiden AI (SOP-03)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Nomor Insiden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AI-[ YYYY-MM-DD ]-[ 001 ]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Tanggal &amp; Waktu Kejadian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Tanggal &amp; Waktu Pelaporan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Nama Pelapor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 / Direktorat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Tools yang Terlibat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Severity yang Dilaporkan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CRITICAL    [  ] HIGH    [  ] MEDIUM    [  ] LOW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Deskripsi Kejadian (apa yang terjadi, kapan, bagaimana diketahui)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 yang Berpotensi Terekspos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Data Nasabah (PII)    [  ] Kredensial Sistem    [  ] Data Keuangan Internal    [  ] Source Code Inti    [  ] Lainnya: ____________    [  ] Tidak ada / Belum diketahui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Tindakan yang Sudah Diambil Pelapor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Ditangani oleh IT Security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Severity Final: ____________    Triage selesai: ____________
Nama PIC: _______________    Tanda Tangan: _______________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Perlu laporan ke Kominfo/OJK?</w:t>
            </w:r>
          </w:p>
        </w:tc>
        <w:tc>
          <w:tcPr>
            <w:tcW w:type="dxa" w:w="6072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  ] Ya — Deadline notifikasi: ____________    [  ] Tidak    [  ] Dalam investigasi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PENGESAHAN SOP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024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Ditinjau Oleh</w:t>
            </w:r>
          </w:p>
        </w:tc>
        <w:tc>
          <w:tcPr>
            <w:tcW w:type="dxa" w:w="3024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Disahkan Oleh</w:t>
            </w:r>
          </w:p>
        </w:tc>
      </w:tr>
      <w:tr>
        <w:tc>
          <w:tcPr>
            <w:tcW w:type="dxa" w:w="3024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Security &amp; Governance
Nama: _______________
Jabatan: IT Security Lead
Tanggal: _______________
Tanda Tangan:
________________</w:t>
            </w:r>
          </w:p>
        </w:tc>
        <w:tc>
          <w:tcPr>
            <w:tcW w:type="dxa" w:w="3024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Risk Management
Nama: _______________
Jabatan: Risk Manager
Tanggal: _______________
Tanda Tangan:
________________</w:t>
            </w:r>
          </w:p>
        </w:tc>
        <w:tc>
          <w:tcPr>
            <w:tcW w:type="dxa" w:w="3024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Operation Head
Nama: _______________
Jabatan: IT Operation Head
Tanggal: _______________
Tanda Tangan:
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4" w:space="10"/>
        </w:pBdr>
        <w:shd w:fill="DEEAF1" w:val="clear"/>
        <w:spacing w:after="120" w:before="120" w:line="276"/>
        <w:ind w:left="40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SOP ini wajib ditinjau ulang setiap 1 tahun atau apabila terjadi perubahan material pada kebijakan, regulasi, atau insiden signifikan yang memerlukan penyesuaian prosedur. Versi terbaru selalu tersedia di portal internal IT Security &amp; Governance.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Halaman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dari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|   ITSG-SOP-AI-2026-001   |   Versi 1.0   |   1 April 2026   |  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PT Equity Life Indonesia  —  SOP Penggunaan AI  |  ITSG-SOP-AI-2026-001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30" w:before="30"/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2026-03-27T06:33:46.709Z</dcterms:created>
  <dcterms:modified xsi:type="dcterms:W3CDTF">2026-03-27T06:33:46.709Z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