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6"/>
          <w:szCs w:val="56"/>
        </w:rPr>
        <w:t xml:space="preserve">PT EQUITY LIFE INDONESIA</w:t>
      </w:r>
    </w:p>
    <w:p>
      <w:pPr>
        <w:spacing w:after="200" w:before="0"/>
        <w:jc w:val="center"/>
      </w:pPr>
      <w:r>
        <w:rPr>
          <w:rFonts w:ascii="Arial" w:cs="Arial" w:eastAsia="Arial" w:hAnsi="Arial"/>
          <w:b/>
          <w:bCs/>
          <w:color w:val="7B0000"/>
          <w:sz w:val="40"/>
          <w:szCs w:val="40"/>
        </w:rPr>
        <w:t xml:space="preserve">FORM BUSINESS IMPACT ASSESSMENT</w:t>
      </w:r>
    </w:p>
    <w:p>
      <w:pPr>
        <w:spacing w:after="400" w:before="0"/>
        <w:jc w:val="center"/>
      </w:pPr>
      <w:r>
        <w:rPr>
          <w:rFonts w:ascii="Arial" w:cs="Arial" w:eastAsia="Arial" w:hAnsi="Arial"/>
          <w:b/>
          <w:bCs/>
          <w:color w:val="7B0000"/>
          <w:sz w:val="40"/>
          <w:szCs w:val="40"/>
        </w:rPr>
        <w:t xml:space="preserve">(BIA)</w:t>
      </w:r>
    </w:p>
    <w:p>
      <w:pPr>
        <w:spacing w:after="200" w:before="0"/>
        <w:jc w:val="center"/>
      </w:pPr>
      <w:r>
        <w:rPr>
          <w:rFonts w:ascii="Arial" w:cs="Arial" w:eastAsia="Arial" w:hAnsi="Arial"/>
          <w:color w:val="333333"/>
          <w:sz w:val="22"/>
          <w:szCs w:val="22"/>
        </w:rPr>
        <w:t xml:space="preserve">Penilaian Dampak Bisnis atas Risiko Pelindungan Data Pribadi</w:t>
      </w:r>
    </w:p>
    <w:p>
      <w:pPr>
        <w:spacing w:after="200" w:before="0"/>
        <w:jc w:val="center"/>
      </w:pPr>
      <w:r>
        <w:rPr>
          <w:rFonts w:ascii="Arial" w:cs="Arial" w:eastAsia="Arial" w:hAnsi="Arial"/>
          <w:color w:val="555555"/>
          <w:sz w:val="20"/>
          <w:szCs w:val="20"/>
        </w:rPr>
        <w:t xml:space="preserve">Berdasarkan Undang-Undang No. 27 Tahun 2022 tentang Pelindungan Data Pribadi</w:t>
      </w:r>
    </w:p>
    <w:p>
      <w:pPr>
        <w:spacing w:after="600" w:before="0"/>
        <w:jc w:val="center"/>
      </w:pPr>
      <w:r>
        <w:rPr>
          <w:rFonts w:ascii="Arial" w:cs="Arial" w:eastAsia="Arial" w:hAnsi="Arial"/>
          <w:color w:val="666666"/>
          <w:sz w:val="20"/>
          <w:szCs w:val="20"/>
        </w:rPr>
        <w:t xml:space="preserve">Versi 1.0  |  Maret 2026</w:t>
      </w:r>
    </w:p>
    <w:p>
      <w:pPr>
        <w:spacing w:after="80" w:before="160"/>
      </w:pPr>
      <w:r>
        <w:rPr>
          <w:rFonts w:ascii="Arial" w:cs="Arial" w:eastAsia="Arial" w:hAnsi="Arial"/>
          <w:b/>
          <w:bCs/>
          <w:color w:val="7B0000"/>
          <w:sz w:val="20"/>
          <w:szCs w:val="20"/>
        </w:rPr>
        <w:t xml:space="preserve">Tujuan BIA:</w:t>
      </w:r>
    </w:p>
    <w:p>
      <w:pPr>
        <w:spacing w:after="200" w:before="0"/>
      </w:pPr>
      <w:r>
        <w:rPr>
          <w:rFonts w:ascii="Arial" w:cs="Arial" w:eastAsia="Arial" w:hAnsi="Arial"/>
          <w:color w:val="333333"/>
          <w:sz w:val="20"/>
          <w:szCs w:val="20"/>
        </w:rPr>
        <w:t xml:space="preserve">Business Impact Assessment (BIA) bertujuan mengidentifikasi dan mengevaluasi dampak bisnis yang ditimbulkan dari gangguan, pelanggaran, atau insiden terkait data pribadi. BIA digunakan untuk menentukan prioritas pemulihan, strategi mitigasi, dan kelangsungan operasional PT Equity Life Indonesia.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INFORMASI DOKUMEN BIA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Nama Proses / Sistem yang Dinilai</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Divisi / Departemen Pemilik</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Nomor Dokumen BIA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Tanggal Penilaian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Dibuat oleh</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Disetujui oleh</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Periode Review</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Tahunan</w:t>
            </w:r>
          </w:p>
          <w:p>
            <w:r>
              <w:rPr>
                <w:rFonts w:ascii="Arial" w:cs="Arial" w:eastAsia="Arial" w:hAnsi="Arial"/>
                <w:sz w:val="20"/>
                <w:szCs w:val="20"/>
              </w:rPr>
              <w:t xml:space="preserve">☐ Setiap 2 tahun</w:t>
            </w:r>
          </w:p>
          <w:p>
            <w:r>
              <w:rPr>
                <w:rFonts w:ascii="Arial" w:cs="Arial" w:eastAsia="Arial" w:hAnsi="Arial"/>
                <w:sz w:val="20"/>
                <w:szCs w:val="20"/>
              </w:rPr>
              <w:t xml:space="preserve">☐ Setelah insiden signifikan</w:t>
            </w:r>
          </w:p>
          <w:p>
            <w:r>
              <w:rPr>
                <w:rFonts w:ascii="Arial" w:cs="Arial" w:eastAsia="Arial" w:hAnsi="Arial"/>
                <w:sz w:val="20"/>
                <w:szCs w:val="20"/>
              </w:rPr>
              <w:t xml:space="preserve">☐ Setelah perubahan proses</w:t>
            </w:r>
          </w:p>
        </w:tc>
      </w:tr>
    </w:tbl>
    <w:p>
      <w:r>
        <w:br w:type="page"/>
      </w:r>
    </w:p>
    <w:p>
      <w:pPr>
        <w:pStyle w:val="Heading1"/>
      </w:pPr>
      <w:r>
        <w:t xml:space="preserve">BAGIAN A: IDENTIFIKASI PROSES DAN ASET KRITIS</w:t>
      </w:r>
    </w:p>
    <w:p>
      <w:pPr>
        <w:spacing w:after="80" w:before="160"/>
      </w:pPr>
      <w:r>
        <w:rPr>
          <w:rFonts w:ascii="Arial" w:cs="Arial" w:eastAsia="Arial" w:hAnsi="Arial"/>
          <w:b/>
          <w:bCs/>
          <w:color w:val="7B0000"/>
          <w:sz w:val="22"/>
          <w:szCs w:val="22"/>
        </w:rPr>
        <w:t xml:space="preserve">A.1 Deskripsi Proses Bisnis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 PROSES BISNIS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Nama Proses Bisnis</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Deskripsi Proses</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Ketergantungan Proses (Upstream)</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Proses yang Bergantung (Downstream)</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Volume Transaksi Data per Hari</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Jam Operasional</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24 jam x 7 hari</w:t>
            </w:r>
          </w:p>
          <w:p>
            <w:r>
              <w:rPr>
                <w:rFonts w:ascii="Arial" w:cs="Arial" w:eastAsia="Arial" w:hAnsi="Arial"/>
                <w:sz w:val="20"/>
                <w:szCs w:val="20"/>
              </w:rPr>
              <w:t xml:space="preserve">☐ Hari kerja (08.00 - 17.00)</w:t>
            </w:r>
          </w:p>
          <w:p>
            <w:r>
              <w:rPr>
                <w:rFonts w:ascii="Arial" w:cs="Arial" w:eastAsia="Arial" w:hAnsi="Arial"/>
                <w:sz w:val="20"/>
                <w:szCs w:val="20"/>
              </w:rPr>
              <w:t xml:space="preserve">☐ Jam tertentu: _______________</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Kategori Proses Bisnis</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Proses Inti (Core Process) - langsung mendukung produk/layanan asuransi</w:t>
            </w:r>
          </w:p>
          <w:p>
            <w:r>
              <w:rPr>
                <w:rFonts w:ascii="Arial" w:cs="Arial" w:eastAsia="Arial" w:hAnsi="Arial"/>
                <w:sz w:val="20"/>
                <w:szCs w:val="20"/>
              </w:rPr>
              <w:t xml:space="preserve">☐ Proses Pendukung (Support Process) - mendukung operasional internal</w:t>
            </w:r>
          </w:p>
          <w:p>
            <w:r>
              <w:rPr>
                <w:rFonts w:ascii="Arial" w:cs="Arial" w:eastAsia="Arial" w:hAnsi="Arial"/>
                <w:sz w:val="20"/>
                <w:szCs w:val="20"/>
              </w:rPr>
              <w:t xml:space="preserve">☐ Proses Manajemen (Management Process) - tata kelola dan perencanaan</w:t>
            </w:r>
          </w:p>
        </w:tc>
      </w:tr>
    </w:tbl>
    <w:p>
      <w:pPr>
        <w:spacing w:after="80" w:before="240"/>
      </w:pPr>
      <w:r>
        <w:rPr>
          <w:rFonts w:ascii="Arial" w:cs="Arial" w:eastAsia="Arial" w:hAnsi="Arial"/>
          <w:b/>
          <w:bCs/>
          <w:color w:val="7B0000"/>
          <w:sz w:val="22"/>
          <w:szCs w:val="22"/>
        </w:rPr>
        <w:t xml:space="preserve">A.2 Inventarisasi Aset Data Kritis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1800"/>
        <w:gridCol w:w="1726"/>
        <w:gridCol w:w="1000"/>
      </w:tblGrid>
      <w:tr>
        <w:tc>
          <w:tcPr>
            <w:tcW w:type="dxa" w:w="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 Aset Data</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Data</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Klasifikasi</w:t>
            </w:r>
          </w:p>
        </w:tc>
        <w:tc>
          <w:tcPr>
            <w:tcW w:type="dxa" w:w="17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Lokasi Penyimpanan</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PIC Aset</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Rahasia
Sangat Tinggi</w:t>
            </w:r>
          </w:p>
          <w:p>
            <w:r>
              <w:rPr>
                <w:rFonts w:ascii="Arial" w:cs="Arial" w:eastAsia="Arial" w:hAnsi="Arial"/>
                <w:sz w:val="20"/>
                <w:szCs w:val="20"/>
              </w:rPr>
              <w:t xml:space="preserve">☐ Rahasia</w:t>
            </w:r>
          </w:p>
          <w:p>
            <w:r>
              <w:rPr>
                <w:rFonts w:ascii="Arial" w:cs="Arial" w:eastAsia="Arial" w:hAnsi="Arial"/>
                <w:sz w:val="20"/>
                <w:szCs w:val="20"/>
              </w:rPr>
              <w:t xml:space="preserve">☐ Internal</w:t>
            </w:r>
          </w:p>
          <w:p>
            <w:r>
              <w:rPr>
                <w:rFonts w:ascii="Arial" w:cs="Arial" w:eastAsia="Arial" w:hAnsi="Arial"/>
                <w:sz w:val="20"/>
                <w:szCs w:val="20"/>
              </w:rPr>
              <w:t xml:space="preserve">☐ Publik</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Cloud</w:t>
            </w:r>
          </w:p>
          <w:p>
            <w:r>
              <w:rPr>
                <w:rFonts w:ascii="Arial" w:cs="Arial" w:eastAsia="Arial" w:hAnsi="Arial"/>
                <w:sz w:val="20"/>
                <w:szCs w:val="20"/>
              </w:rPr>
              <w:t xml:space="preserve">☐ On-premise</w:t>
            </w:r>
          </w:p>
          <w:p>
            <w:r>
              <w:rPr>
                <w:rFonts w:ascii="Arial" w:cs="Arial" w:eastAsia="Arial" w:hAnsi="Arial"/>
                <w:sz w:val="20"/>
                <w:szCs w:val="20"/>
              </w:rPr>
              <w:t xml:space="preserve">☐ Hybrid</w:t>
            </w:r>
          </w:p>
          <w:p>
            <w:r>
              <w:rPr>
                <w:rFonts w:ascii="Arial" w:cs="Arial" w:eastAsia="Arial" w:hAnsi="Arial"/>
                <w:sz w:val="20"/>
                <w:szCs w:val="20"/>
              </w:rPr>
              <w:t xml:space="preserve">☐ Fisik</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Rahasia
Sangat Tinggi</w:t>
            </w:r>
          </w:p>
          <w:p>
            <w:r>
              <w:rPr>
                <w:rFonts w:ascii="Arial" w:cs="Arial" w:eastAsia="Arial" w:hAnsi="Arial"/>
                <w:sz w:val="20"/>
                <w:szCs w:val="20"/>
              </w:rPr>
              <w:t xml:space="preserve">☐ Rahasia</w:t>
            </w:r>
          </w:p>
          <w:p>
            <w:r>
              <w:rPr>
                <w:rFonts w:ascii="Arial" w:cs="Arial" w:eastAsia="Arial" w:hAnsi="Arial"/>
                <w:sz w:val="20"/>
                <w:szCs w:val="20"/>
              </w:rPr>
              <w:t xml:space="preserve">☐ Internal</w:t>
            </w:r>
          </w:p>
          <w:p>
            <w:r>
              <w:rPr>
                <w:rFonts w:ascii="Arial" w:cs="Arial" w:eastAsia="Arial" w:hAnsi="Arial"/>
                <w:sz w:val="20"/>
                <w:szCs w:val="20"/>
              </w:rPr>
              <w:t xml:space="preserve">☐ Publik</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Cloud</w:t>
            </w:r>
          </w:p>
          <w:p>
            <w:r>
              <w:rPr>
                <w:rFonts w:ascii="Arial" w:cs="Arial" w:eastAsia="Arial" w:hAnsi="Arial"/>
                <w:sz w:val="20"/>
                <w:szCs w:val="20"/>
              </w:rPr>
              <w:t xml:space="preserve">☐ On-premise</w:t>
            </w:r>
          </w:p>
          <w:p>
            <w:r>
              <w:rPr>
                <w:rFonts w:ascii="Arial" w:cs="Arial" w:eastAsia="Arial" w:hAnsi="Arial"/>
                <w:sz w:val="20"/>
                <w:szCs w:val="20"/>
              </w:rPr>
              <w:t xml:space="preserve">☐ Hybrid</w:t>
            </w:r>
          </w:p>
          <w:p>
            <w:r>
              <w:rPr>
                <w:rFonts w:ascii="Arial" w:cs="Arial" w:eastAsia="Arial" w:hAnsi="Arial"/>
                <w:sz w:val="20"/>
                <w:szCs w:val="20"/>
              </w:rPr>
              <w:t xml:space="preserve">☐ Fisik</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3</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Rahasia
Sangat Tinggi</w:t>
            </w:r>
          </w:p>
          <w:p>
            <w:r>
              <w:rPr>
                <w:rFonts w:ascii="Arial" w:cs="Arial" w:eastAsia="Arial" w:hAnsi="Arial"/>
                <w:sz w:val="20"/>
                <w:szCs w:val="20"/>
              </w:rPr>
              <w:t xml:space="preserve">☐ Rahasia</w:t>
            </w:r>
          </w:p>
          <w:p>
            <w:r>
              <w:rPr>
                <w:rFonts w:ascii="Arial" w:cs="Arial" w:eastAsia="Arial" w:hAnsi="Arial"/>
                <w:sz w:val="20"/>
                <w:szCs w:val="20"/>
              </w:rPr>
              <w:t xml:space="preserve">☐ Internal</w:t>
            </w:r>
          </w:p>
          <w:p>
            <w:r>
              <w:rPr>
                <w:rFonts w:ascii="Arial" w:cs="Arial" w:eastAsia="Arial" w:hAnsi="Arial"/>
                <w:sz w:val="20"/>
                <w:szCs w:val="20"/>
              </w:rPr>
              <w:t xml:space="preserve">☐ Publik</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Cloud</w:t>
            </w:r>
          </w:p>
          <w:p>
            <w:r>
              <w:rPr>
                <w:rFonts w:ascii="Arial" w:cs="Arial" w:eastAsia="Arial" w:hAnsi="Arial"/>
                <w:sz w:val="20"/>
                <w:szCs w:val="20"/>
              </w:rPr>
              <w:t xml:space="preserve">☐ On-premise</w:t>
            </w:r>
          </w:p>
          <w:p>
            <w:r>
              <w:rPr>
                <w:rFonts w:ascii="Arial" w:cs="Arial" w:eastAsia="Arial" w:hAnsi="Arial"/>
                <w:sz w:val="20"/>
                <w:szCs w:val="20"/>
              </w:rPr>
              <w:t xml:space="preserve">☐ Hybrid</w:t>
            </w:r>
          </w:p>
          <w:p>
            <w:r>
              <w:rPr>
                <w:rFonts w:ascii="Arial" w:cs="Arial" w:eastAsia="Arial" w:hAnsi="Arial"/>
                <w:sz w:val="20"/>
                <w:szCs w:val="20"/>
              </w:rPr>
              <w:t xml:space="preserve">☐ Fisik</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4</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Rahasia
Sangat Tinggi</w:t>
            </w:r>
          </w:p>
          <w:p>
            <w:r>
              <w:rPr>
                <w:rFonts w:ascii="Arial" w:cs="Arial" w:eastAsia="Arial" w:hAnsi="Arial"/>
                <w:sz w:val="20"/>
                <w:szCs w:val="20"/>
              </w:rPr>
              <w:t xml:space="preserve">☐ Rahasia</w:t>
            </w:r>
          </w:p>
          <w:p>
            <w:r>
              <w:rPr>
                <w:rFonts w:ascii="Arial" w:cs="Arial" w:eastAsia="Arial" w:hAnsi="Arial"/>
                <w:sz w:val="20"/>
                <w:szCs w:val="20"/>
              </w:rPr>
              <w:t xml:space="preserve">☐ Internal</w:t>
            </w:r>
          </w:p>
          <w:p>
            <w:r>
              <w:rPr>
                <w:rFonts w:ascii="Arial" w:cs="Arial" w:eastAsia="Arial" w:hAnsi="Arial"/>
                <w:sz w:val="20"/>
                <w:szCs w:val="20"/>
              </w:rPr>
              <w:t xml:space="preserve">☐ Publik</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Cloud</w:t>
            </w:r>
          </w:p>
          <w:p>
            <w:r>
              <w:rPr>
                <w:rFonts w:ascii="Arial" w:cs="Arial" w:eastAsia="Arial" w:hAnsi="Arial"/>
                <w:sz w:val="20"/>
                <w:szCs w:val="20"/>
              </w:rPr>
              <w:t xml:space="preserve">☐ On-premise</w:t>
            </w:r>
          </w:p>
          <w:p>
            <w:r>
              <w:rPr>
                <w:rFonts w:ascii="Arial" w:cs="Arial" w:eastAsia="Arial" w:hAnsi="Arial"/>
                <w:sz w:val="20"/>
                <w:szCs w:val="20"/>
              </w:rPr>
              <w:t xml:space="preserve">☐ Hybrid</w:t>
            </w:r>
          </w:p>
          <w:p>
            <w:r>
              <w:rPr>
                <w:rFonts w:ascii="Arial" w:cs="Arial" w:eastAsia="Arial" w:hAnsi="Arial"/>
                <w:sz w:val="20"/>
                <w:szCs w:val="20"/>
              </w:rPr>
              <w:t xml:space="preserve">☐ Fisik</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5</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Rahasia
Sangat Tinggi</w:t>
            </w:r>
          </w:p>
          <w:p>
            <w:r>
              <w:rPr>
                <w:rFonts w:ascii="Arial" w:cs="Arial" w:eastAsia="Arial" w:hAnsi="Arial"/>
                <w:sz w:val="20"/>
                <w:szCs w:val="20"/>
              </w:rPr>
              <w:t xml:space="preserve">☐ Rahasia</w:t>
            </w:r>
          </w:p>
          <w:p>
            <w:r>
              <w:rPr>
                <w:rFonts w:ascii="Arial" w:cs="Arial" w:eastAsia="Arial" w:hAnsi="Arial"/>
                <w:sz w:val="20"/>
                <w:szCs w:val="20"/>
              </w:rPr>
              <w:t xml:space="preserve">☐ Internal</w:t>
            </w:r>
          </w:p>
          <w:p>
            <w:r>
              <w:rPr>
                <w:rFonts w:ascii="Arial" w:cs="Arial" w:eastAsia="Arial" w:hAnsi="Arial"/>
                <w:sz w:val="20"/>
                <w:szCs w:val="20"/>
              </w:rPr>
              <w:t xml:space="preserve">☐ Publik</w:t>
            </w:r>
          </w:p>
        </w:tc>
        <w:tc>
          <w:tcPr>
            <w:tcW w:type="dxa" w:w="17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Cloud</w:t>
            </w:r>
          </w:p>
          <w:p>
            <w:r>
              <w:rPr>
                <w:rFonts w:ascii="Arial" w:cs="Arial" w:eastAsia="Arial" w:hAnsi="Arial"/>
                <w:sz w:val="20"/>
                <w:szCs w:val="20"/>
              </w:rPr>
              <w:t xml:space="preserve">☐ On-premise</w:t>
            </w:r>
          </w:p>
          <w:p>
            <w:r>
              <w:rPr>
                <w:rFonts w:ascii="Arial" w:cs="Arial" w:eastAsia="Arial" w:hAnsi="Arial"/>
                <w:sz w:val="20"/>
                <w:szCs w:val="20"/>
              </w:rPr>
              <w:t xml:space="preserve">☐ Hybrid</w:t>
            </w:r>
          </w:p>
          <w:p>
            <w:r>
              <w:rPr>
                <w:rFonts w:ascii="Arial" w:cs="Arial" w:eastAsia="Arial" w:hAnsi="Arial"/>
                <w:sz w:val="20"/>
                <w:szCs w:val="20"/>
              </w:rPr>
              <w:t xml:space="preserve">☐ Fisik</w:t>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B: ANALISIS DAMPAK BISNIS</w:t>
      </w:r>
    </w:p>
    <w:p>
      <w:pPr>
        <w:spacing w:after="80" w:before="160"/>
      </w:pPr>
      <w:r>
        <w:rPr>
          <w:rFonts w:ascii="Arial" w:cs="Arial" w:eastAsia="Arial" w:hAnsi="Arial"/>
          <w:b/>
          <w:bCs/>
          <w:color w:val="7B0000"/>
          <w:sz w:val="22"/>
          <w:szCs w:val="22"/>
        </w:rPr>
        <w:t xml:space="preserve">B.1 Skala Penilaian Dampak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2000"/>
        <w:gridCol w:w="2526"/>
      </w:tblGrid>
      <w:tr>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c>
          <w:tcPr>
            <w:tcW w:type="dxa" w:w="2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Finansial</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Reputasi</w:t>
            </w:r>
          </w:p>
        </w:tc>
        <w:tc>
          <w:tcPr>
            <w:tcW w:type="dxa" w:w="2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Operasional</w:t>
            </w:r>
          </w:p>
        </w:tc>
      </w:tr>
      <w:tr>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dxa" w:w="1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b/>
                <w:bCs/>
                <w:sz w:val="18"/>
                <w:szCs w:val="18"/>
              </w:rPr>
              <w:t xml:space="preserve">Sangat Rendah</w:t>
            </w:r>
          </w:p>
        </w:tc>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&lt; Rp 100 juta</w:t>
            </w:r>
          </w:p>
        </w:tc>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Pemberitaan lokal kecil</w:t>
            </w:r>
          </w:p>
        </w:tc>
        <w:tc>
          <w:tcPr>
            <w:tcW w:type="dxa" w:w="2526"/>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Gangguan &lt; 4 jam, tidak signifikan</w:t>
            </w:r>
          </w:p>
        </w:tc>
      </w:tr>
      <w:tr>
        <w:tc>
          <w:tcPr>
            <w:tcW w:type="dxa" w:w="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15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left"/>
            </w:pPr>
            <w:r>
              <w:rPr>
                <w:rFonts w:ascii="Arial" w:cs="Arial" w:eastAsia="Arial" w:hAnsi="Arial"/>
                <w:b/>
                <w:bCs/>
                <w:sz w:val="18"/>
                <w:szCs w:val="18"/>
              </w:rPr>
              <w:t xml:space="preserve">Rendah</w:t>
            </w:r>
          </w:p>
        </w:tc>
        <w:tc>
          <w:tcPr>
            <w:tcW w:type="dxa" w:w="22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Rp 100 juta - 500 juta</w:t>
            </w:r>
          </w:p>
        </w:tc>
        <w:tc>
          <w:tcPr>
            <w:tcW w:type="dxa" w:w="2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Pemberitaan regional terbatas</w:t>
            </w:r>
          </w:p>
        </w:tc>
        <w:tc>
          <w:tcPr>
            <w:tcW w:type="dxa" w:w="25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Gangguan 4-8 jam, beberapa proses terganggu</w:t>
            </w:r>
          </w:p>
        </w:tc>
      </w:tr>
      <w:tr>
        <w:tc>
          <w:tcPr>
            <w:tcW w:type="dxa" w:w="8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dxa" w:w="15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pPr>
              <w:jc w:val="left"/>
            </w:pPr>
            <w:r>
              <w:rPr>
                <w:rFonts w:ascii="Arial" w:cs="Arial" w:eastAsia="Arial" w:hAnsi="Arial"/>
                <w:b/>
                <w:bCs/>
                <w:sz w:val="18"/>
                <w:szCs w:val="18"/>
              </w:rPr>
              <w:t xml:space="preserve">Sedang</w:t>
            </w:r>
          </w:p>
        </w:tc>
        <w:tc>
          <w:tcPr>
            <w:tcW w:type="dxa" w:w="2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Rp 500 juta - 2 miliar</w:t>
            </w:r>
          </w:p>
        </w:tc>
        <w:tc>
          <w:tcPr>
            <w:tcW w:type="dxa" w:w="20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Pemberitaan nasional terbatas</w:t>
            </w:r>
          </w:p>
        </w:tc>
        <w:tc>
          <w:tcPr>
            <w:tcW w:type="dxa" w:w="2526"/>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Gangguan 8-24 jam, beberapa proses utama terhenti</w:t>
            </w:r>
          </w:p>
        </w:tc>
      </w:tr>
      <w:tr>
        <w:tc>
          <w:tcPr>
            <w:tcW w:type="dxa" w:w="8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15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sz w:val="18"/>
                <w:szCs w:val="18"/>
              </w:rPr>
              <w:t xml:space="preserve">Tinggi</w:t>
            </w:r>
          </w:p>
        </w:tc>
        <w:tc>
          <w:tcPr>
            <w:tcW w:type="dxa" w:w="2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Rp 2 miliar - 10 miliar</w:t>
            </w:r>
          </w:p>
        </w:tc>
        <w:tc>
          <w:tcPr>
            <w:tcW w:type="dxa" w:w="20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Pemberitaan nasional luas</w:t>
            </w:r>
          </w:p>
        </w:tc>
        <w:tc>
          <w:tcPr>
            <w:tcW w:type="dxa" w:w="25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Gangguan 1-3 hari, mayoritas proses utama terhenti</w:t>
            </w:r>
          </w:p>
        </w:tc>
      </w:tr>
      <w:tr>
        <w:tc>
          <w:tcPr>
            <w:tcW w:type="dxa" w:w="800"/>
            <w:tcBorders>
              <w:top w:val="single" w:color="AAAAAA" w:sz="1"/>
              <w:left w:val="single" w:color="AAAAAA" w:sz="1"/>
              <w:bottom w:val="single" w:color="AAAAAA" w:sz="1"/>
              <w:right w:val="single" w:color="AAAAAA" w:sz="1"/>
            </w:tcBorders>
            <w:shd w:fill="FF8A80" w:val="clear"/>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W w:type="dxa" w:w="1500"/>
            <w:tcBorders>
              <w:top w:val="single" w:color="AAAAAA" w:sz="1"/>
              <w:left w:val="single" w:color="AAAAAA" w:sz="1"/>
              <w:bottom w:val="single" w:color="AAAAAA" w:sz="1"/>
              <w:right w:val="single" w:color="AAAAAA" w:sz="1"/>
            </w:tcBorders>
            <w:shd w:fill="FF8A80" w:val="clear"/>
            <w:tcMar>
              <w:top w:type="dxa" w:w="80"/>
              <w:left w:type="dxa" w:w="120"/>
              <w:bottom w:type="dxa" w:w="80"/>
              <w:right w:type="dxa" w:w="120"/>
            </w:tcMar>
          </w:tcPr>
          <w:p>
            <w:pPr>
              <w:jc w:val="left"/>
            </w:pPr>
            <w:r>
              <w:rPr>
                <w:rFonts w:ascii="Arial" w:cs="Arial" w:eastAsia="Arial" w:hAnsi="Arial"/>
                <w:b/>
                <w:bCs/>
                <w:sz w:val="18"/>
                <w:szCs w:val="18"/>
              </w:rPr>
              <w:t xml:space="preserve">Sangat Tinggi</w:t>
            </w:r>
          </w:p>
        </w:tc>
        <w:tc>
          <w:tcPr>
            <w:tcW w:type="dxa" w:w="2200"/>
            <w:tcBorders>
              <w:top w:val="single" w:color="AAAAAA" w:sz="1"/>
              <w:left w:val="single" w:color="AAAAAA" w:sz="1"/>
              <w:bottom w:val="single" w:color="AAAAAA" w:sz="1"/>
              <w:right w:val="single" w:color="AAAAAA" w:sz="1"/>
            </w:tcBorders>
            <w:shd w:fill="FF8A8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&gt; Rp 10 miliar</w:t>
            </w:r>
          </w:p>
        </w:tc>
        <w:tc>
          <w:tcPr>
            <w:tcW w:type="dxa" w:w="2000"/>
            <w:tcBorders>
              <w:top w:val="single" w:color="AAAAAA" w:sz="1"/>
              <w:left w:val="single" w:color="AAAAAA" w:sz="1"/>
              <w:bottom w:val="single" w:color="AAAAAA" w:sz="1"/>
              <w:right w:val="single" w:color="AAAAAA" w:sz="1"/>
            </w:tcBorders>
            <w:shd w:fill="FF8A8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Pemberitaan internasional / viral</w:t>
            </w:r>
          </w:p>
        </w:tc>
        <w:tc>
          <w:tcPr>
            <w:tcW w:type="dxa" w:w="2526"/>
            <w:tcBorders>
              <w:top w:val="single" w:color="AAAAAA" w:sz="1"/>
              <w:left w:val="single" w:color="AAAAAA" w:sz="1"/>
              <w:bottom w:val="single" w:color="AAAAAA" w:sz="1"/>
              <w:right w:val="single" w:color="AAAAAA" w:sz="1"/>
            </w:tcBorders>
            <w:shd w:fill="FF8A8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Gangguan &gt; 3 hari, seluruh operasi terhenti</w:t>
            </w:r>
          </w:p>
        </w:tc>
      </w:tr>
    </w:tbl>
    <w:p>
      <w:pPr>
        <w:spacing w:after="80" w:before="240"/>
      </w:pPr>
      <w:r>
        <w:rPr>
          <w:rFonts w:ascii="Arial" w:cs="Arial" w:eastAsia="Arial" w:hAnsi="Arial"/>
          <w:b/>
          <w:bCs/>
          <w:color w:val="7B0000"/>
          <w:sz w:val="22"/>
          <w:szCs w:val="22"/>
        </w:rPr>
        <w:t xml:space="preserve">B.2 Matriks Dampak per Dimensi Bisnis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000"/>
        <w:gridCol w:w="2000"/>
      </w:tblGrid>
      <w:t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 Dampak</w:t>
            </w:r>
          </w:p>
        </w:tc>
        <w:tc>
          <w:tcPr>
            <w:tcW w:type="dxa" w:w="3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 Dampak Spesifik</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Dampak
(1-5)</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Justifikasi</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Finansial Langsung</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Hukum dan Regulasi</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Reputasi dan Kepercayaan</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Operasional Internal</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terhadap Nasabah</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terhadap Mitra Bisnis</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Kompetitif</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Dampak Kepatuhan OJK</w:t>
            </w:r>
          </w:p>
        </w:tc>
        <w:tc>
          <w:tcPr>
            <w:tcW w:type="dxa" w:w="3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C: ANALISIS RTO, RPO, DAN MTPD</w:t>
      </w:r>
    </w:p>
    <w:p>
      <w:pPr>
        <w:spacing w:after="80" w:before="160"/>
      </w:pPr>
      <w:r>
        <w:rPr>
          <w:rFonts w:ascii="Arial" w:cs="Arial" w:eastAsia="Arial" w:hAnsi="Arial"/>
          <w:b/>
          <w:bCs/>
          <w:color w:val="7B0000"/>
          <w:sz w:val="22"/>
          <w:szCs w:val="22"/>
        </w:rPr>
        <w:t xml:space="preserve">Definisi Parameter Pemulihan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gridSpan w:val="1"/>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026"/>
            <w:gridSpan w:val="1"/>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c>
          <w:tcPr>
            <w:tcW w:type="dxa" w:w="2000"/>
            <w:gridSpan w:val="1"/>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PT EQUITY LIFE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RTO
(Recovery Time Objective)</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Waktu maksimum yang diizinkan untuk memulihkan proses bisnis setelah gangguan. RTO menentukan kapan sistem/proses harus kembali berjalan.</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RPO
(Recovery Point Objective)</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Titik waktu terjauh data yang dapat dipulihkan setelah gangguan. RPO menentukan seberapa banyak data yang boleh hilang.</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MTPD
(Maximum Tolerable Period of Disruption)</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Durasi terlama gangguan yang dapat ditoleransi sebelum dampak menjadi tidak dapat diterima oleh bisnis.</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MBCO
(Minimum Business Continuity Objective)</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Tingkat minimum layanan yang harus dipertahankan selama gangguan berlangsung.</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pPr>
        <w:spacing w:after="80" w:before="240"/>
      </w:pPr>
      <w:r>
        <w:rPr>
          <w:rFonts w:ascii="Arial" w:cs="Arial" w:eastAsia="Arial" w:hAnsi="Arial"/>
          <w:b/>
          <w:bCs/>
          <w:color w:val="7B0000"/>
          <w:sz w:val="22"/>
          <w:szCs w:val="22"/>
        </w:rPr>
        <w:t xml:space="preserve">C.2 Target RTO/RPO per Proses Kritis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200"/>
        <w:gridCol w:w="1200"/>
        <w:gridCol w:w="1200"/>
        <w:gridCol w:w="2026"/>
      </w:tblGrid>
      <w:tr>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Proses / Sistem</w:t>
            </w:r>
          </w:p>
        </w:tc>
        <w:tc>
          <w:tcPr>
            <w:tcW w:type="dxa" w:w="9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RTO Target</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RPO Target</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MTPD</w:t>
            </w:r>
          </w:p>
        </w:tc>
        <w:tc>
          <w:tcPr>
            <w:tcW w:type="dxa" w:w="2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 Pemulihan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Sistem Manajemen Polis</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Sistem Pemrosesan Klaim</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Portal Nasabah / Mobile App</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Sistem Pembayaran Premi</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Sistem Underwriting</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Database Nasabah</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Email / Komunikasi Internal</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Laporan Regulatori (OJK)</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P1</w:t>
            </w:r>
          </w:p>
          <w:p>
            <w:r>
              <w:rPr>
                <w:rFonts w:ascii="Arial" w:cs="Arial" w:eastAsia="Arial" w:hAnsi="Arial"/>
                <w:sz w:val="20"/>
                <w:szCs w:val="20"/>
              </w:rPr>
              <w:t xml:space="preserve">☐ P2</w:t>
            </w:r>
          </w:p>
          <w:p>
            <w:r>
              <w:rPr>
                <w:rFonts w:ascii="Arial" w:cs="Arial" w:eastAsia="Arial" w:hAnsi="Arial"/>
                <w:sz w:val="20"/>
                <w:szCs w:val="20"/>
              </w:rPr>
              <w:t xml:space="preserve">☐ P3</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D: SKENARIO GANGGUAN DAN DAMPAK DATA PRIBADI</w:t>
      </w:r>
    </w:p>
    <w:p>
      <w:pPr>
        <w:spacing w:after="80" w:before="160"/>
      </w:pPr>
      <w:r>
        <w:rPr>
          <w:rFonts w:ascii="Arial" w:cs="Arial" w:eastAsia="Arial" w:hAnsi="Arial"/>
          <w:b/>
          <w:bCs/>
          <w:color w:val="7B0000"/>
          <w:sz w:val="22"/>
          <w:szCs w:val="22"/>
        </w:rPr>
        <w:t xml:space="preserve">D.1 Identifikasi Skenario Gangguan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2000"/>
        <w:gridCol w:w="1000"/>
        <w:gridCol w:w="1026"/>
      </w:tblGrid>
      <w:tr>
        <w:tc>
          <w:tcPr>
            <w:tcW w:type="dxa" w:w="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Skenario Gangguan</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Penyebab Potensial</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Pribadi Terdampak</w:t>
            </w:r>
          </w:p>
        </w:tc>
        <w:tc>
          <w:tcPr>
            <w:tcW w:type="dxa" w:w="1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Kemungkinan
(1-5)</w:t>
            </w:r>
          </w:p>
        </w:tc>
        <w:tc>
          <w:tcPr>
            <w:tcW w:type="dxa" w:w="10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(1-5)</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Pelanggaran Data (Data Breach) oleh Pihak Eksternal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Serangan siber, hacking, phishing</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Kebocoran Data oleh Pihak Internal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Kesalahan karyawan, akses tidak sah, sabotase</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3</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Kegagalan Sistem / Downtime Server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Hardware failure, bug software, serangan DDoS</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4</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Kehilangan / Kerusakan Data Fisik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Kebakaran, banjir, pencurian dokumen</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5</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Pelanggaran oleh Mitra/Vendor Pihak Ketiga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Vendor tidak patuh, kebocoran dari rantai pasok</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6</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Perubahan Regulasi yang Tidak Diantisipasi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Peraturan baru OJK, revisi UU PDP</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7</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Kesalahan Konfigurasi Sistem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Misconfiguration cloud, permission error</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8</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Ransomware / Serangan Enkripsi Data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8"/>
                <w:szCs w:val="18"/>
              </w:rPr>
              <w:t xml:space="preserve">Malware, ransomware attack</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pPr>
        <w:spacing w:after="80" w:before="240"/>
      </w:pPr>
      <w:r>
        <w:rPr>
          <w:rFonts w:ascii="Arial" w:cs="Arial" w:eastAsia="Arial" w:hAnsi="Arial"/>
          <w:b/>
          <w:bCs/>
          <w:color w:val="7B0000"/>
          <w:sz w:val="22"/>
          <w:szCs w:val="22"/>
        </w:rPr>
        <w:t xml:space="preserve">D.2 Dampak Spesifik terhadap Subjek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26"/>
        <w:gridCol w:w="1500"/>
        <w:gridCol w:w="2500"/>
      </w:tblGrid>
      <w:tr>
        <w:tc>
          <w:tcPr>
            <w:tcW w:type="dxa" w:w="3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 Dampak kepada Subjek Data</w:t>
            </w:r>
          </w:p>
        </w:tc>
        <w:tc>
          <w:tcPr>
            <w:tcW w:type="dxa" w:w="1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Kemungkinan Terjadi</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Tingkat Keparahan</w:t>
            </w:r>
          </w:p>
        </w:tc>
        <w:tc>
          <w:tcPr>
            <w:tcW w:type="dxa" w:w="2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Jumlah Perkiraan Subjek Data Terdampak</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Kerugian finansial langsung (penipuan, pencurian identitas)</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Kerugian finansial tidak langsung (pelanggaran kontrak)</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Diskriminasi atau prasangka</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Kerusakan reputasi pribadi</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Tekanan psikologis / trauma</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Risiko keselamatan fisik</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Kehilangan kendali atas data pribadi</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Gangguan layanan asuransi</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Pelanggaran kerahasiaan data medis</w:t>
            </w:r>
          </w:p>
        </w:tc>
        <w:tc>
          <w:tcPr>
            <w:tcW w:type="dxa" w:w="1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Jarang</w:t>
            </w:r>
          </w:p>
          <w:p>
            <w:r>
              <w:rPr>
                <w:rFonts w:ascii="Arial" w:cs="Arial" w:eastAsia="Arial" w:hAnsi="Arial"/>
                <w:sz w:val="20"/>
                <w:szCs w:val="20"/>
              </w:rPr>
              <w:t xml:space="preserve">☐ Jarang</w:t>
            </w:r>
          </w:p>
          <w:p>
            <w:r>
              <w:rPr>
                <w:rFonts w:ascii="Arial" w:cs="Arial" w:eastAsia="Arial" w:hAnsi="Arial"/>
                <w:sz w:val="20"/>
                <w:szCs w:val="20"/>
              </w:rPr>
              <w:t xml:space="preserve">☐ Kadang</w:t>
            </w:r>
          </w:p>
          <w:p>
            <w:r>
              <w:rPr>
                <w:rFonts w:ascii="Arial" w:cs="Arial" w:eastAsia="Arial" w:hAnsi="Arial"/>
                <w:sz w:val="20"/>
                <w:szCs w:val="20"/>
              </w:rPr>
              <w:t xml:space="preserve">☐ Sering</w:t>
            </w:r>
          </w:p>
          <w:p>
            <w:r>
              <w:rPr>
                <w:rFonts w:ascii="Arial" w:cs="Arial" w:eastAsia="Arial" w:hAnsi="Arial"/>
                <w:sz w:val="20"/>
                <w:szCs w:val="20"/>
              </w:rPr>
              <w:t xml:space="preserve">☐ Sangat
Sering</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Rendah</w:t>
            </w:r>
          </w:p>
          <w:p>
            <w:r>
              <w:rPr>
                <w:rFonts w:ascii="Arial" w:cs="Arial" w:eastAsia="Arial" w:hAnsi="Arial"/>
                <w:sz w:val="20"/>
                <w:szCs w:val="20"/>
              </w:rPr>
              <w:t xml:space="preserve">☐ Sedang</w:t>
            </w:r>
          </w:p>
          <w:p>
            <w:r>
              <w:rPr>
                <w:rFonts w:ascii="Arial" w:cs="Arial" w:eastAsia="Arial" w:hAnsi="Arial"/>
                <w:sz w:val="20"/>
                <w:szCs w:val="20"/>
              </w:rPr>
              <w:t xml:space="preserve">☐ Tinggi</w:t>
            </w:r>
          </w:p>
          <w:p>
            <w:r>
              <w:rPr>
                <w:rFonts w:ascii="Arial" w:cs="Arial" w:eastAsia="Arial" w:hAnsi="Arial"/>
                <w:sz w:val="20"/>
                <w:szCs w:val="20"/>
              </w:rPr>
              <w:t xml:space="preserve">☐ Sangat
Tinggi</w:t>
            </w:r>
          </w:p>
        </w:tc>
        <w:tc>
          <w:tcPr>
            <w:tcW w:type="dxa" w:w="2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E: SANKSI HUKUM DAN IMPLIKASI REGULASI</w:t>
      </w:r>
    </w:p>
    <w:p>
      <w:pPr>
        <w:spacing w:after="80" w:before="160"/>
      </w:pPr>
      <w:r>
        <w:rPr>
          <w:rFonts w:ascii="Arial" w:cs="Arial" w:eastAsia="Arial" w:hAnsi="Arial"/>
          <w:b/>
          <w:bCs/>
          <w:color w:val="7B0000"/>
          <w:sz w:val="22"/>
          <w:szCs w:val="22"/>
        </w:rPr>
        <w:t xml:space="preserve">Ringkasan Sanksi Berdasarkan UU No. 27 Tahun 2022 tentang PDP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400"/>
        <w:gridCol w:w="2826"/>
      </w:tblGrid>
      <w:tr>
        <w:tc>
          <w:tcPr>
            <w:tcW w:type="dxa" w:w="3000"/>
            <w:gridSpan w:val="1"/>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Pelanggaran</w:t>
            </w:r>
          </w:p>
        </w:tc>
        <w:tc>
          <w:tcPr>
            <w:tcW w:type="dxa" w:w="800"/>
            <w:gridSpan w:val="1"/>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Pasal</w:t>
            </w:r>
          </w:p>
        </w:tc>
        <w:tc>
          <w:tcPr>
            <w:tcW w:type="dxa" w:w="2400"/>
            <w:gridSpan w:val="1"/>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Sanksi Pidana</w:t>
            </w:r>
          </w:p>
        </w:tc>
        <w:tc>
          <w:tcPr>
            <w:tcW w:type="dxa" w:w="2826"/>
            <w:gridSpan w:val="1"/>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Sanksi Denda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Pemrosesan data tanpa dasar hukum yang sah</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 65 (1)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Pidana 5 tahun</w:t>
            </w:r>
          </w:p>
        </w:tc>
        <w:tc>
          <w:tcPr>
            <w:tcW w:type="dxa" w:w="2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20"/>
                <w:szCs w:val="20"/>
              </w:rPr>
              <w:t xml:space="preserve">Maks. Rp 5 miliar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Memperoleh data dengan cara ilegal</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 65 (2)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Pidana 5 tahun</w:t>
            </w:r>
          </w:p>
        </w:tc>
        <w:tc>
          <w:tcPr>
            <w:tcW w:type="dxa" w:w="2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20"/>
                <w:szCs w:val="20"/>
              </w:rPr>
              <w:t xml:space="preserve">Maks. Rp 5 miliar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Pengungkapan data yang tidak sah</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 65 (3)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Pidana 4 tahun</w:t>
            </w:r>
          </w:p>
        </w:tc>
        <w:tc>
          <w:tcPr>
            <w:tcW w:type="dxa" w:w="2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20"/>
                <w:szCs w:val="20"/>
              </w:rPr>
              <w:t xml:space="preserve">Maks. Rp 4 miliar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Pemrosesan data anak tanpa persetujuan wali</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 66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Pidana 4 tahun</w:t>
            </w:r>
          </w:p>
        </w:tc>
        <w:tc>
          <w:tcPr>
            <w:tcW w:type="dxa" w:w="2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20"/>
                <w:szCs w:val="20"/>
              </w:rPr>
              <w:t xml:space="preserve">Maks. Rp 4 miliar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Pemalsuan data pribadi</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 67 (1)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Pidana 6 tahun</w:t>
            </w:r>
          </w:p>
        </w:tc>
        <w:tc>
          <w:tcPr>
            <w:tcW w:type="dxa" w:w="2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20"/>
                <w:szCs w:val="20"/>
              </w:rPr>
              <w:t xml:space="preserve">Maks. Rp 6 miliar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Menggunakan data palsu</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 67 (2)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Pidana 5 tahun</w:t>
            </w:r>
          </w:p>
        </w:tc>
        <w:tc>
          <w:tcPr>
            <w:tcW w:type="dxa" w:w="2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20"/>
                <w:szCs w:val="20"/>
              </w:rPr>
              <w:t xml:space="preserve">Maks. Rp 5 miliar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Badan hukum (korporasi)</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 71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Pidana tambahan: pencabutan izin, pengumuman putusan</w:t>
            </w:r>
          </w:p>
        </w:tc>
        <w:tc>
          <w:tcPr>
            <w:tcW w:type="dxa" w:w="2826"/>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20"/>
                <w:szCs w:val="20"/>
              </w:rPr>
              <w:t xml:space="preserve">Maks. 10x nilai denda</w:t>
            </w:r>
          </w:p>
        </w:tc>
      </w:tr>
    </w:tbl>
    <w:p>
      <w:pPr>
        <w:spacing w:after="80" w:before="240"/>
      </w:pPr>
      <w:r>
        <w:rPr>
          <w:rFonts w:ascii="Arial" w:cs="Arial" w:eastAsia="Arial" w:hAnsi="Arial"/>
          <w:b/>
          <w:bCs/>
          <w:color w:val="7B0000"/>
          <w:sz w:val="22"/>
          <w:szCs w:val="22"/>
        </w:rPr>
        <w:t xml:space="preserve">E.2 Penilaian Eksposur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PENILAIAN EKSPOSUR HUKUM</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Estimasi eksposur denda maksimum</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perusahaan sudah mendaftarkan DPO ke lembaga terkait?</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Terdaftar sejak: _______________</w:t>
            </w:r>
          </w:p>
          <w:p>
            <w:r>
              <w:rPr>
                <w:rFonts w:ascii="Arial" w:cs="Arial" w:eastAsia="Arial" w:hAnsi="Arial"/>
                <w:sz w:val="20"/>
                <w:szCs w:val="20"/>
              </w:rPr>
              <w:t xml:space="preserve">☐ Sedang dalam proses</w:t>
            </w:r>
          </w:p>
          <w:p>
            <w:r>
              <w:rPr>
                <w:rFonts w:ascii="Arial" w:cs="Arial" w:eastAsia="Arial" w:hAnsi="Arial"/>
                <w:sz w:val="20"/>
                <w:szCs w:val="20"/>
              </w:rPr>
              <w:t xml:space="preserve">☐ Belum</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 kepatuhan UU PDP saat ini</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Sudah patuh sepenuhnya</w:t>
            </w:r>
          </w:p>
          <w:p>
            <w:r>
              <w:rPr>
                <w:rFonts w:ascii="Arial" w:cs="Arial" w:eastAsia="Arial" w:hAnsi="Arial"/>
                <w:sz w:val="20"/>
                <w:szCs w:val="20"/>
              </w:rPr>
              <w:t xml:space="preserve">☐ Dalam proses pemenuhan kepatuhan</w:t>
            </w:r>
          </w:p>
          <w:p>
            <w:r>
              <w:rPr>
                <w:rFonts w:ascii="Arial" w:cs="Arial" w:eastAsia="Arial" w:hAnsi="Arial"/>
                <w:sz w:val="20"/>
                <w:szCs w:val="20"/>
              </w:rPr>
              <w:t xml:space="preserve">☐ Terdapat gap kepatuhan yang signifikan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Gap kepatuhan yang teridentifikasi</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r>
        <w:br w:type="page"/>
      </w:r>
    </w:p>
    <w:p>
      <w:pPr>
        <w:pStyle w:val="Heading1"/>
      </w:pPr>
      <w:r>
        <w:t xml:space="preserve">BAGIAN F: STRATEGI KELANGSUNGAN BISNIS DAN PEMULIHAN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STRATEGI PEMULIHAN DAN KELANGSUNGAN BISNIS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ada BCP (Business Continuity Plan)?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Nomor dokumen: _______________</w:t>
            </w:r>
          </w:p>
          <w:p>
            <w:r>
              <w:rPr>
                <w:rFonts w:ascii="Arial" w:cs="Arial" w:eastAsia="Arial" w:hAnsi="Arial"/>
                <w:sz w:val="20"/>
                <w:szCs w:val="20"/>
              </w:rPr>
              <w:t xml:space="preserve">☐ Sedang disusun</w:t>
            </w:r>
          </w:p>
          <w:p>
            <w:r>
              <w:rPr>
                <w:rFonts w:ascii="Arial" w:cs="Arial" w:eastAsia="Arial" w:hAnsi="Arial"/>
                <w:sz w:val="20"/>
                <w:szCs w:val="20"/>
              </w:rPr>
              <w:t xml:space="preserve">☐ Belum ada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ada DRP (Disaster Recovery Plan)?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 Nomor dokumen: _______________</w:t>
            </w:r>
          </w:p>
          <w:p>
            <w:r>
              <w:rPr>
                <w:rFonts w:ascii="Arial" w:cs="Arial" w:eastAsia="Arial" w:hAnsi="Arial"/>
                <w:sz w:val="20"/>
                <w:szCs w:val="20"/>
              </w:rPr>
              <w:t xml:space="preserve">☐ Sedang disusun</w:t>
            </w:r>
          </w:p>
          <w:p>
            <w:r>
              <w:rPr>
                <w:rFonts w:ascii="Arial" w:cs="Arial" w:eastAsia="Arial" w:hAnsi="Arial"/>
                <w:sz w:val="20"/>
                <w:szCs w:val="20"/>
              </w:rPr>
              <w:t xml:space="preserve">☐ Belum ada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Frekuensi pengujian BCP/DRP</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Tahunan</w:t>
            </w:r>
          </w:p>
          <w:p>
            <w:r>
              <w:rPr>
                <w:rFonts w:ascii="Arial" w:cs="Arial" w:eastAsia="Arial" w:hAnsi="Arial"/>
                <w:sz w:val="20"/>
                <w:szCs w:val="20"/>
              </w:rPr>
              <w:t xml:space="preserve">☐ Setiap 6 bulan</w:t>
            </w:r>
          </w:p>
          <w:p>
            <w:r>
              <w:rPr>
                <w:rFonts w:ascii="Arial" w:cs="Arial" w:eastAsia="Arial" w:hAnsi="Arial"/>
                <w:sz w:val="20"/>
                <w:szCs w:val="20"/>
              </w:rPr>
              <w:t xml:space="preserve">☐ Setiap 3 bulan</w:t>
            </w:r>
          </w:p>
          <w:p>
            <w:r>
              <w:rPr>
                <w:rFonts w:ascii="Arial" w:cs="Arial" w:eastAsia="Arial" w:hAnsi="Arial"/>
                <w:sz w:val="20"/>
                <w:szCs w:val="20"/>
              </w:rPr>
              <w:t xml:space="preserve">☐ Belum pernah diuji</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Lokasi backup data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Data center primer (on-premise)</w:t>
            </w:r>
          </w:p>
          <w:p>
            <w:r>
              <w:rPr>
                <w:rFonts w:ascii="Arial" w:cs="Arial" w:eastAsia="Arial" w:hAnsi="Arial"/>
                <w:sz w:val="20"/>
                <w:szCs w:val="20"/>
              </w:rPr>
              <w:t xml:space="preserve">☐ Data center sekunder (off-site)</w:t>
            </w:r>
          </w:p>
          <w:p>
            <w:r>
              <w:rPr>
                <w:rFonts w:ascii="Arial" w:cs="Arial" w:eastAsia="Arial" w:hAnsi="Arial"/>
                <w:sz w:val="20"/>
                <w:szCs w:val="20"/>
              </w:rPr>
              <w:t xml:space="preserve">☐ Cloud backup</w:t>
            </w:r>
          </w:p>
          <w:p>
            <w:r>
              <w:rPr>
                <w:rFonts w:ascii="Arial" w:cs="Arial" w:eastAsia="Arial" w:hAnsi="Arial"/>
                <w:sz w:val="20"/>
                <w:szCs w:val="20"/>
              </w:rPr>
              <w:t xml:space="preserve">☐ Hybrid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Prosedur eskalasi insiden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tc>
      </w:tr>
    </w:tbl>
    <w:p>
      <w:pPr>
        <w:spacing w:after="80" w:before="240"/>
      </w:pPr>
      <w:r>
        <w:rPr>
          <w:rFonts w:ascii="Arial" w:cs="Arial" w:eastAsia="Arial" w:hAnsi="Arial"/>
          <w:b/>
          <w:bCs/>
          <w:color w:val="7B0000"/>
          <w:sz w:val="22"/>
          <w:szCs w:val="22"/>
        </w:rPr>
        <w:t xml:space="preserve">F.2 Rencana Tindakan Prioritas Pemulihan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1500"/>
        <w:gridCol w:w="1500"/>
        <w:gridCol w:w="2000"/>
      </w:tblGrid>
      <w:tr>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32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Tindakan Pemulihan</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Penanggung Jawab</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Sumber Daya</w:t>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18"/>
                <w:szCs w:val="18"/>
              </w:rPr>
              <w:t xml:space="preserve">P1 - Kritis (0-4 jam)</w:t>
            </w:r>
          </w:p>
        </w:tc>
        <w:tc>
          <w:tcPr>
            <w:tcW w:type="dxa" w:w="3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Aktivasi tim respons insiden, isolasi sistem terdampak, notifikasi manajemen</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18"/>
                <w:szCs w:val="18"/>
              </w:rPr>
              <w:t xml:space="preserve">P2 - Tinggi (4-24 jam)</w:t>
            </w:r>
          </w:p>
        </w:tc>
        <w:tc>
          <w:tcPr>
            <w:tcW w:type="dxa" w:w="3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Assessment dampak, notifikasi OJK (jika breach), komunikasi nasabah</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18"/>
                <w:szCs w:val="18"/>
              </w:rPr>
              <w:t xml:space="preserve">P3 - Sedang (1-3 hari)</w:t>
            </w:r>
          </w:p>
        </w:tc>
        <w:tc>
          <w:tcPr>
            <w:tcW w:type="dxa" w:w="3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Pemulihan data dari backup, pengujian integritas data, laporan insiden</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18"/>
                <w:szCs w:val="18"/>
              </w:rPr>
              <w:t xml:space="preserve">P4 - Normal (3-14 hari)</w:t>
            </w:r>
          </w:p>
        </w:tc>
        <w:tc>
          <w:tcPr>
            <w:tcW w:type="dxa" w:w="3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Review menyeluruh, perbaikan prosedur, pelatihan ulang staf</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r>
              <w:rPr>
                <w:rFonts w:ascii="Arial" w:cs="Arial" w:eastAsia="Arial" w:hAnsi="Arial"/>
                <w:b/>
                <w:bCs/>
                <w:color w:val="7B0000"/>
                <w:sz w:val="18"/>
                <w:szCs w:val="18"/>
              </w:rPr>
              <w:t xml:space="preserve">P5 - Perbaikan (&gt; 14 hari)</w:t>
            </w:r>
          </w:p>
        </w:tc>
        <w:tc>
          <w:tcPr>
            <w:tcW w:type="dxa" w:w="32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333333"/>
                <w:sz w:val="18"/>
                <w:szCs w:val="18"/>
              </w:rPr>
              <w:t xml:space="preserve">Audit pasca insiden, perbarui DPIA/ROPA/BIA, laporan final ke regulator</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r>
    </w:tbl>
    <w:p>
      <w:r>
        <w:br w:type="page"/>
      </w:r>
    </w:p>
    <w:p>
      <w:pPr>
        <w:pStyle w:val="Heading1"/>
      </w:pPr>
      <w:r>
        <w:t xml:space="preserve">BAGIAN G: KESIMPULAN DAN REKOMENDASI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G.1 KESIMPULAN PENILAIAN BIA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Tingkat Risiko Keseluruhan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Sangat Rendah (1-2)</w:t>
            </w:r>
          </w:p>
          <w:p>
            <w:r>
              <w:rPr>
                <w:rFonts w:ascii="Arial" w:cs="Arial" w:eastAsia="Arial" w:hAnsi="Arial"/>
                <w:sz w:val="20"/>
                <w:szCs w:val="20"/>
              </w:rPr>
              <w:t xml:space="preserve">☐ Rendah (3-4)</w:t>
            </w:r>
          </w:p>
          <w:p>
            <w:r>
              <w:rPr>
                <w:rFonts w:ascii="Arial" w:cs="Arial" w:eastAsia="Arial" w:hAnsi="Arial"/>
                <w:sz w:val="20"/>
                <w:szCs w:val="20"/>
              </w:rPr>
              <w:t xml:space="preserve">☐ Sedang (5-7)</w:t>
            </w:r>
          </w:p>
          <w:p>
            <w:r>
              <w:rPr>
                <w:rFonts w:ascii="Arial" w:cs="Arial" w:eastAsia="Arial" w:hAnsi="Arial"/>
                <w:sz w:val="20"/>
                <w:szCs w:val="20"/>
              </w:rPr>
              <w:t xml:space="preserve">☐ Tinggi (8-10)</w:t>
            </w:r>
          </w:p>
          <w:p>
            <w:r>
              <w:rPr>
                <w:rFonts w:ascii="Arial" w:cs="Arial" w:eastAsia="Arial" w:hAnsi="Arial"/>
                <w:sz w:val="20"/>
                <w:szCs w:val="20"/>
              </w:rPr>
              <w:t xml:space="preserve">☐ Sangat Tinggi (&gt; 10)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Apakah operasional dapat dilanjutkan?</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Ya, tanpa syarat</w:t>
            </w:r>
          </w:p>
          <w:p>
            <w:r>
              <w:rPr>
                <w:rFonts w:ascii="Arial" w:cs="Arial" w:eastAsia="Arial" w:hAnsi="Arial"/>
                <w:sz w:val="20"/>
                <w:szCs w:val="20"/>
              </w:rPr>
              <w:t xml:space="preserve">☐ Ya, dengan syarat dan tindakan mitigasi</w:t>
            </w:r>
          </w:p>
          <w:p>
            <w:r>
              <w:rPr>
                <w:rFonts w:ascii="Arial" w:cs="Arial" w:eastAsia="Arial" w:hAnsi="Arial"/>
                <w:sz w:val="20"/>
                <w:szCs w:val="20"/>
              </w:rPr>
              <w:t xml:space="preserve">☐ Tidak, sampai perbaikan dilakukan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Rekomendasi Utama</w:t>
            </w:r>
          </w:p>
        </w:tc>
        <w:tc>
          <w:tcPr>
            <w:tcW w:type="dxa" w:w="60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after="80" w:before="240"/>
      </w:pPr>
      <w:r>
        <w:rPr>
          <w:rFonts w:ascii="Arial" w:cs="Arial" w:eastAsia="Arial" w:hAnsi="Arial"/>
          <w:b/>
          <w:bCs/>
          <w:color w:val="7B0000"/>
          <w:sz w:val="22"/>
          <w:szCs w:val="22"/>
        </w:rPr>
        <w:t xml:space="preserve">G.2 Persetujuan dan Tanda Tangan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2000"/>
        <w:gridCol w:w="1200"/>
        <w:gridCol w:w="1300"/>
      </w:tblGrid>
      <w:tr>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25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JABATAN</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13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TANDA TANGAN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Pembuat BIA</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Data Protection Officer (DPO)</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Kepala Divisi / Manajemen</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Chief Risk Officer / CRO</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Direktur Utama / CEO</w:t>
            </w:r>
          </w:p>
        </w:tc>
        <w:tc>
          <w:tcPr>
            <w:tcW w:type="dxa" w:w="25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after="80" w:before="240"/>
      </w:pPr>
      <w:r>
        <w:rPr>
          <w:rFonts w:ascii="Arial" w:cs="Arial" w:eastAsia="Arial" w:hAnsi="Arial"/>
          <w:b/>
          <w:bCs/>
          <w:color w:val="7B0000"/>
          <w:sz w:val="22"/>
          <w:szCs w:val="22"/>
        </w:rPr>
        <w:t xml:space="preserve">G.3 Riwayat Review dan Pembaruan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000"/>
        <w:gridCol w:w="3426"/>
        <w:gridCol w:w="1300"/>
      </w:tblGrid>
      <w:tr>
        <w:tc>
          <w:tcPr>
            <w:tcW w:type="dxa" w:w="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w:t>
            </w:r>
          </w:p>
        </w:tc>
        <w:tc>
          <w:tcPr>
            <w:tcW w:type="dxa" w:w="15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2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Diubah Oleh</w:t>
            </w:r>
          </w:p>
        </w:tc>
        <w:tc>
          <w:tcPr>
            <w:tcW w:type="dxa" w:w="3426"/>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 Perubahan</w:t>
            </w:r>
          </w:p>
        </w:tc>
        <w:tc>
          <w:tcPr>
            <w:tcW w:type="dxa" w:w="13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1.0</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34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Aktif</w:t>
            </w:r>
          </w:p>
          <w:p>
            <w:r>
              <w:rPr>
                <w:rFonts w:ascii="Arial" w:cs="Arial" w:eastAsia="Arial" w:hAnsi="Arial"/>
                <w:sz w:val="20"/>
                <w:szCs w:val="20"/>
              </w:rPr>
              <w:t xml:space="preserve">☐ Revisi</w:t>
            </w:r>
          </w:p>
          <w:p>
            <w:r>
              <w:rPr>
                <w:rFonts w:ascii="Arial" w:cs="Arial" w:eastAsia="Arial" w:hAnsi="Arial"/>
                <w:sz w:val="20"/>
                <w:szCs w:val="20"/>
              </w:rPr>
              <w:t xml:space="preserve">☐ Obsolete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2.0</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34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Aktif</w:t>
            </w:r>
          </w:p>
          <w:p>
            <w:r>
              <w:rPr>
                <w:rFonts w:ascii="Arial" w:cs="Arial" w:eastAsia="Arial" w:hAnsi="Arial"/>
                <w:sz w:val="20"/>
                <w:szCs w:val="20"/>
              </w:rPr>
              <w:t xml:space="preserve">☐ Revisi</w:t>
            </w:r>
          </w:p>
          <w:p>
            <w:r>
              <w:rPr>
                <w:rFonts w:ascii="Arial" w:cs="Arial" w:eastAsia="Arial" w:hAnsi="Arial"/>
                <w:sz w:val="20"/>
                <w:szCs w:val="20"/>
              </w:rPr>
              <w:t xml:space="preserve">☐ Obsolete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0"/>
                <w:szCs w:val="20"/>
              </w:rPr>
              <w:t xml:space="preserve">3.0</w:t>
            </w:r>
          </w:p>
        </w:tc>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3426"/>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
            </w:r>
          </w:p>
          <w:p>
            <w:r>
              <w:rPr>
                <w:sz w:val="20"/>
                <w:szCs w:val="20"/>
              </w:rPr>
              <w:t xml:space="preserve"/>
            </w:r>
          </w:p>
        </w:tc>
        <w:tc>
          <w:tcPr>
            <w:tcW w:type="dxa" w:w="13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Aktif</w:t>
            </w:r>
          </w:p>
          <w:p>
            <w:r>
              <w:rPr>
                <w:rFonts w:ascii="Arial" w:cs="Arial" w:eastAsia="Arial" w:hAnsi="Arial"/>
                <w:sz w:val="20"/>
                <w:szCs w:val="20"/>
              </w:rPr>
              <w:t xml:space="preserve">☐ Revisi</w:t>
            </w:r>
          </w:p>
          <w:p>
            <w:r>
              <w:rPr>
                <w:rFonts w:ascii="Arial" w:cs="Arial" w:eastAsia="Arial" w:hAnsi="Arial"/>
                <w:sz w:val="20"/>
                <w:szCs w:val="20"/>
              </w:rPr>
              <w:t xml:space="preserve">☐ Obsolete</w:t>
            </w:r>
          </w:p>
        </w:tc>
      </w:tr>
    </w:tbl>
    <w:p>
      <w:pPr>
        <w:spacing w:before="400"/>
        <w:jc w:val="center"/>
      </w:pPr>
      <w:r>
        <w:rPr>
          <w:rFonts w:ascii="Arial" w:cs="Arial" w:eastAsia="Arial" w:hAnsi="Arial"/>
          <w:i/>
          <w:iCs/>
          <w:color w:val="888888"/>
          <w:sz w:val="18"/>
          <w:szCs w:val="18"/>
        </w:rPr>
        <w:t xml:space="preserve">--- Akhir Dokumen BIA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0000" w:sz="6" w:space="1"/>
      </w:pBdr>
      <w:jc w:val="center"/>
    </w:pPr>
    <w:r>
      <w:rPr>
        <w:color w:val="555555"/>
        <w:sz w:val="16"/>
        <w:szCs w:val="16"/>
      </w:rPr>
      <w:t xml:space="preserve">Dokumen BIA bersifat RAHASIA - Dokumen Internal | Halaman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0000" w:sz="6" w:space="1"/>
      </w:pBdr>
    </w:pPr>
    <w:r>
      <w:rPr>
        <w:rFonts w:ascii="Arial" w:cs="Arial" w:eastAsia="Arial" w:hAnsi="Arial"/>
        <w:b/>
        <w:bCs/>
        <w:color w:val="1F4E79"/>
        <w:sz w:val="18"/>
        <w:szCs w:val="18"/>
      </w:rPr>
      <w:t xml:space="preserve">PT Equity Life Indonesia</w:t>
    </w:r>
    <w:r>
      <w:rPr>
        <w:rFonts w:ascii="Arial" w:cs="Arial" w:eastAsia="Arial" w:hAnsi="Arial"/>
        <w:color w:val="555555"/>
        <w:sz w:val="18"/>
        <w:szCs w:val="18"/>
      </w:rPr>
      <w:t xml:space="preserve">     |     Form Business Impact Assessment (BIA)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2026-03-26T03:47:28.262Z</dcterms:created>
  <dcterms:modified xsi:type="dcterms:W3CDTF">2026-03-26T03:47:28.262Z</dcterms:modified>
</cp:coreProperties>
</file>

<file path=docProps/custom.xml><?xml version="1.0" encoding="utf-8"?>
<Properties xmlns="http://schemas.openxmlformats.org/officeDocument/2006/custom-properties" xmlns:vt="http://schemas.openxmlformats.org/officeDocument/2006/docPropsVTypes"/>
</file>