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space="1" w:color="1F3564"/>
        </w:pBdr>
      </w:pPr>
    </w:p>
    <w:p/>
    <w:p>
      <w:pPr>
        <w:spacing w:before="400" w:after="80"/>
        <w:jc w:val="center"/>
      </w:pPr>
      <w:r>
        <w:rPr>
          <w:rFonts w:ascii="Calibri" w:hAnsi="Calibri"/>
          <w:b/>
          <w:i w:val="0"/>
          <w:color w:val="1F3564"/>
          <w:sz w:val="32"/>
        </w:rPr>
        <w:t>PT EQUITY LIFE INDONESIA</w:t>
      </w:r>
    </w:p>
    <w:p>
      <w:pPr>
        <w:spacing w:before="40" w:after="600"/>
        <w:jc w:val="center"/>
      </w:pPr>
      <w:r>
        <w:rPr>
          <w:rFonts w:ascii="Calibri" w:hAnsi="Calibri"/>
          <w:b w:val="0"/>
          <w:i/>
          <w:color w:val="2E74B5"/>
          <w:sz w:val="24"/>
        </w:rPr>
        <w:t>Information Security Management System (ISMS)</w:t>
      </w:r>
    </w:p>
    <w:p>
      <w:pPr>
        <w:spacing w:before="200" w:after="80"/>
        <w:jc w:val="center"/>
      </w:pPr>
      <w:r>
        <w:rPr>
          <w:rFonts w:ascii="Calibri" w:hAnsi="Calibri"/>
          <w:b/>
          <w:i w:val="0"/>
          <w:color w:val="1F3564"/>
          <w:sz w:val="44"/>
        </w:rPr>
        <w:t>KEBIJAKAN RETENSI DOKUMEN</w:t>
      </w:r>
    </w:p>
    <w:p>
      <w:pPr>
        <w:spacing w:before="0" w:after="800"/>
        <w:jc w:val="center"/>
      </w:pPr>
      <w:r>
        <w:rPr>
          <w:rFonts w:ascii="Calibri" w:hAnsi="Calibri"/>
          <w:b w:val="0"/>
          <w:i/>
          <w:color w:val="2E74B5"/>
          <w:sz w:val="28"/>
        </w:rPr>
        <w:t>Document Retention Policy</w:t>
      </w:r>
    </w:p>
    <w:p/>
    <w:tbl>
      <w:tblPr>
        <w:tblW w:type="auto" w:w="0"/>
        <w:jc w:val="center"/>
        <w:tblLook w:firstColumn="1" w:firstRow="1" w:lastColumn="0" w:lastRow="0" w:noHBand="0" w:noVBand="1" w:val="04A0"/>
      </w:tblPr>
      <w:tblGrid>
        <w:gridCol w:w="4536"/>
        <w:gridCol w:w="4536"/>
      </w:tblGrid>
      <w:tr>
        <w:tc>
          <w:tcPr>
            <w:tcW w:type="dxa" w:w="3118"/>
            <w:shd w:val="clear" w:color="auto" w:fill="1F3564"/>
            <w:vAlign w:val="center"/>
          </w:tcPr>
          <w:p>
            <w:pPr>
              <w:spacing w:before="100" w:after="100"/>
              <w:ind w:left="113"/>
            </w:pPr>
            <w:r>
              <w:rPr>
                <w:rFonts w:ascii="Calibri" w:hAnsi="Calibri"/>
                <w:b/>
                <w:i w:val="0"/>
                <w:color w:val="FFFFFF"/>
                <w:sz w:val="20"/>
              </w:rPr>
              <w:t>Nomor Dokumen</w:t>
            </w:r>
          </w:p>
        </w:tc>
        <w:tc>
          <w:tcPr>
            <w:tcW w:type="dxa" w:w="4819"/>
            <w:shd w:val="clear" w:color="auto" w:fill="F2F7FC"/>
            <w:vAlign w:val="center"/>
          </w:tcPr>
          <w:p>
            <w:pPr>
              <w:spacing w:before="100" w:after="100"/>
              <w:ind w:left="113"/>
            </w:pPr>
            <w:r>
              <w:rPr>
                <w:rFonts w:ascii="Calibri" w:hAnsi="Calibri"/>
                <w:b/>
                <w:i w:val="0"/>
                <w:color w:val="1A1A2E"/>
                <w:sz w:val="20"/>
              </w:rPr>
              <w:t>ELI-POL-ISMS-001</w:t>
            </w:r>
          </w:p>
        </w:tc>
      </w:tr>
      <w:tr>
        <w:tc>
          <w:tcPr>
            <w:tcW w:type="dxa" w:w="3118"/>
            <w:shd w:val="clear" w:color="auto" w:fill="1F3564"/>
            <w:vAlign w:val="center"/>
          </w:tcPr>
          <w:p>
            <w:pPr>
              <w:spacing w:before="100" w:after="100"/>
              <w:ind w:left="113"/>
            </w:pPr>
            <w:r>
              <w:rPr>
                <w:rFonts w:ascii="Calibri" w:hAnsi="Calibri"/>
                <w:b/>
                <w:i w:val="0"/>
                <w:color w:val="FFFFFF"/>
                <w:sz w:val="20"/>
              </w:rPr>
              <w:t>Versi</w:t>
            </w:r>
          </w:p>
        </w:tc>
        <w:tc>
          <w:tcPr>
            <w:tcW w:type="dxa" w:w="4819"/>
            <w:shd w:val="clear" w:color="auto" w:fill="FFFFFF"/>
            <w:vAlign w:val="center"/>
          </w:tcPr>
          <w:p>
            <w:pPr>
              <w:spacing w:before="100" w:after="100"/>
              <w:ind w:left="113"/>
            </w:pPr>
            <w:r>
              <w:rPr>
                <w:rFonts w:ascii="Calibri" w:hAnsi="Calibri"/>
                <w:b/>
                <w:i w:val="0"/>
                <w:color w:val="1A1A2E"/>
                <w:sz w:val="20"/>
              </w:rPr>
              <w:t>1.0</w:t>
            </w:r>
          </w:p>
        </w:tc>
      </w:tr>
      <w:tr>
        <w:tc>
          <w:tcPr>
            <w:tcW w:type="dxa" w:w="3118"/>
            <w:shd w:val="clear" w:color="auto" w:fill="1F3564"/>
            <w:vAlign w:val="center"/>
          </w:tcPr>
          <w:p>
            <w:pPr>
              <w:spacing w:before="100" w:after="100"/>
              <w:ind w:left="113"/>
            </w:pPr>
            <w:r>
              <w:rPr>
                <w:rFonts w:ascii="Calibri" w:hAnsi="Calibri"/>
                <w:b/>
                <w:i w:val="0"/>
                <w:color w:val="FFFFFF"/>
                <w:sz w:val="20"/>
              </w:rPr>
              <w:t>Tanggal Berlaku</w:t>
            </w:r>
          </w:p>
        </w:tc>
        <w:tc>
          <w:tcPr>
            <w:tcW w:type="dxa" w:w="4819"/>
            <w:shd w:val="clear" w:color="auto" w:fill="F2F7FC"/>
            <w:vAlign w:val="center"/>
          </w:tcPr>
          <w:p>
            <w:pPr>
              <w:spacing w:before="100" w:after="100"/>
              <w:ind w:left="113"/>
            </w:pPr>
            <w:r>
              <w:rPr>
                <w:rFonts w:ascii="Calibri" w:hAnsi="Calibri"/>
                <w:b w:val="0"/>
                <w:i w:val="0"/>
                <w:color w:val="1A1A2E"/>
                <w:sz w:val="20"/>
              </w:rPr>
              <w:t>Maret 2026</w:t>
            </w:r>
          </w:p>
        </w:tc>
      </w:tr>
      <w:tr>
        <w:tc>
          <w:tcPr>
            <w:tcW w:type="dxa" w:w="3118"/>
            <w:shd w:val="clear" w:color="auto" w:fill="1F3564"/>
            <w:vAlign w:val="center"/>
          </w:tcPr>
          <w:p>
            <w:pPr>
              <w:spacing w:before="100" w:after="100"/>
              <w:ind w:left="113"/>
            </w:pPr>
            <w:r>
              <w:rPr>
                <w:rFonts w:ascii="Calibri" w:hAnsi="Calibri"/>
                <w:b/>
                <w:i w:val="0"/>
                <w:color w:val="FFFFFF"/>
                <w:sz w:val="20"/>
              </w:rPr>
              <w:t>Klasifikasi</w:t>
            </w:r>
          </w:p>
        </w:tc>
        <w:tc>
          <w:tcPr>
            <w:tcW w:type="dxa" w:w="4819"/>
            <w:shd w:val="clear" w:color="auto" w:fill="FFFFFF"/>
            <w:vAlign w:val="center"/>
          </w:tcPr>
          <w:p>
            <w:pPr>
              <w:spacing w:before="100" w:after="100"/>
              <w:ind w:left="113"/>
            </w:pPr>
            <w:r>
              <w:rPr>
                <w:rFonts w:ascii="Calibri" w:hAnsi="Calibri"/>
                <w:b w:val="0"/>
                <w:i w:val="0"/>
                <w:color w:val="1A1A2E"/>
                <w:sz w:val="20"/>
              </w:rPr>
              <w:t>Internal</w:t>
            </w:r>
          </w:p>
        </w:tc>
      </w:tr>
      <w:tr>
        <w:tc>
          <w:tcPr>
            <w:tcW w:type="dxa" w:w="3118"/>
            <w:shd w:val="clear" w:color="auto" w:fill="1F3564"/>
            <w:vAlign w:val="center"/>
          </w:tcPr>
          <w:p>
            <w:pPr>
              <w:spacing w:before="100" w:after="100"/>
              <w:ind w:left="113"/>
            </w:pPr>
            <w:r>
              <w:rPr>
                <w:rFonts w:ascii="Calibri" w:hAnsi="Calibri"/>
                <w:b/>
                <w:i w:val="0"/>
                <w:color w:val="FFFFFF"/>
                <w:sz w:val="20"/>
              </w:rPr>
              <w:t>Pemilik Dokumen</w:t>
            </w:r>
          </w:p>
        </w:tc>
        <w:tc>
          <w:tcPr>
            <w:tcW w:type="dxa" w:w="4819"/>
            <w:shd w:val="clear" w:color="auto" w:fill="F2F7FC"/>
            <w:vAlign w:val="center"/>
          </w:tcPr>
          <w:p>
            <w:pPr>
              <w:spacing w:before="100" w:after="100"/>
              <w:ind w:left="113"/>
            </w:pPr>
            <w:r>
              <w:rPr>
                <w:rFonts w:ascii="Calibri" w:hAnsi="Calibri"/>
                <w:b w:val="0"/>
                <w:i w:val="0"/>
                <w:color w:val="1A1A2E"/>
                <w:sz w:val="20"/>
              </w:rPr>
              <w:t>Departemen IT &amp; Information Security</w:t>
            </w:r>
          </w:p>
        </w:tc>
      </w:tr>
      <w:tr>
        <w:tc>
          <w:tcPr>
            <w:tcW w:type="dxa" w:w="3118"/>
            <w:shd w:val="clear" w:color="auto" w:fill="1F3564"/>
            <w:vAlign w:val="center"/>
          </w:tcPr>
          <w:p>
            <w:pPr>
              <w:spacing w:before="100" w:after="100"/>
              <w:ind w:left="113"/>
            </w:pPr>
            <w:r>
              <w:rPr>
                <w:rFonts w:ascii="Calibri" w:hAnsi="Calibri"/>
                <w:b/>
                <w:i w:val="0"/>
                <w:color w:val="FFFFFF"/>
                <w:sz w:val="20"/>
              </w:rPr>
              <w:t>Disetujui oleh</w:t>
            </w:r>
          </w:p>
        </w:tc>
        <w:tc>
          <w:tcPr>
            <w:tcW w:type="dxa" w:w="4819"/>
            <w:shd w:val="clear" w:color="auto" w:fill="FFFFFF"/>
            <w:vAlign w:val="center"/>
          </w:tcPr>
          <w:p>
            <w:pPr>
              <w:spacing w:before="100" w:after="100"/>
              <w:ind w:left="113"/>
            </w:pPr>
            <w:r>
              <w:rPr>
                <w:rFonts w:ascii="Calibri" w:hAnsi="Calibri"/>
                <w:b w:val="0"/>
                <w:i w:val="0"/>
                <w:color w:val="1A1A2E"/>
                <w:sz w:val="20"/>
              </w:rPr>
              <w:t>Direktur Utama</w:t>
            </w:r>
          </w:p>
        </w:tc>
      </w:tr>
    </w:tbl>
    <w:p/>
    <w:p>
      <w:pPr>
        <w:jc w:val="center"/>
      </w:pPr>
      <w:r>
        <w:rPr>
          <w:rFonts w:ascii="Calibri" w:hAnsi="Calibri"/>
          <w:b w:val="0"/>
          <w:i/>
          <w:color w:val="2E74B5"/>
          <w:sz w:val="19"/>
        </w:rPr>
        <w:t>Sesuai dengan ISO/IEC 27001:2022 | Klausul 7.5 – Documented Information</w:t>
      </w:r>
    </w:p>
    <w:p/>
    <w:p>
      <w:pPr>
        <w:pBdr>
          <w:top w:val="single" w:sz="36" w:space="1" w:color="1F3564"/>
        </w:pBdr>
      </w:pPr>
    </w:p>
    <w:p>
      <w:r>
        <w:br w:type="page"/>
      </w:r>
    </w:p>
    <w:p>
      <w:pPr>
        <w:keepNext/>
        <w:spacing w:before="280" w:after="120"/>
        <w:pBdr>
          <w:left w:val="single" w:sz="24" w:space="8" w:color="2E74B5"/>
        </w:pBdr>
      </w:pPr>
      <w:r>
        <w:rPr>
          <w:rFonts w:ascii="Calibri" w:hAnsi="Calibri"/>
          <w:b/>
          <w:i w:val="0"/>
          <w:color w:val="1F3564"/>
          <w:sz w:val="26"/>
        </w:rPr>
        <w:t>RIWAYAT PERUBAHAN DOKUMEN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val="clear" w:color="auto" w:fill="1F3564"/>
          </w:tcPr>
          <w:p>
            <w:pPr>
              <w:spacing w:before="80" w:after="80"/>
              <w:jc w:val="center"/>
            </w:pPr>
            <w:r>
              <w:rPr>
                <w:rFonts w:ascii="Calibri" w:hAnsi="Calibri"/>
                <w:b/>
                <w:i w:val="0"/>
                <w:color w:val="FFFFFF"/>
                <w:sz w:val="19"/>
              </w:rPr>
              <w:t>Versi</w:t>
            </w:r>
          </w:p>
        </w:tc>
        <w:tc>
          <w:tcPr>
            <w:tcW w:type="dxa" w:w="1417"/>
            <w:shd w:val="clear" w:color="auto" w:fill="1F3564"/>
          </w:tcPr>
          <w:p>
            <w:pPr>
              <w:spacing w:before="80" w:after="80"/>
              <w:jc w:val="center"/>
            </w:pPr>
            <w:r>
              <w:rPr>
                <w:rFonts w:ascii="Calibri" w:hAnsi="Calibri"/>
                <w:b/>
                <w:i w:val="0"/>
                <w:color w:val="FFFFFF"/>
                <w:sz w:val="19"/>
              </w:rPr>
              <w:t>Tanggal</w:t>
            </w:r>
          </w:p>
        </w:tc>
        <w:tc>
          <w:tcPr>
            <w:tcW w:type="dxa" w:w="1417"/>
            <w:shd w:val="clear" w:color="auto" w:fill="1F3564"/>
          </w:tcPr>
          <w:p>
            <w:pPr>
              <w:spacing w:before="80" w:after="80"/>
              <w:jc w:val="center"/>
            </w:pPr>
            <w:r>
              <w:rPr>
                <w:rFonts w:ascii="Calibri" w:hAnsi="Calibri"/>
                <w:b/>
                <w:i w:val="0"/>
                <w:color w:val="FFFFFF"/>
                <w:sz w:val="19"/>
              </w:rPr>
              <w:t>Diubah Oleh</w:t>
            </w:r>
          </w:p>
        </w:tc>
        <w:tc>
          <w:tcPr>
            <w:tcW w:type="dxa" w:w="3118"/>
            <w:shd w:val="clear" w:color="auto" w:fill="1F3564"/>
          </w:tcPr>
          <w:p>
            <w:pPr>
              <w:spacing w:before="80" w:after="80"/>
              <w:jc w:val="center"/>
            </w:pPr>
            <w:r>
              <w:rPr>
                <w:rFonts w:ascii="Calibri" w:hAnsi="Calibri"/>
                <w:b/>
                <w:i w:val="0"/>
                <w:color w:val="FFFFFF"/>
                <w:sz w:val="19"/>
              </w:rPr>
              <w:t>Deskripsi Perubahan</w:t>
            </w:r>
          </w:p>
        </w:tc>
        <w:tc>
          <w:tcPr>
            <w:tcW w:type="dxa" w:w="1814"/>
            <w:shd w:val="clear" w:color="auto" w:fill="1F3564"/>
          </w:tcPr>
          <w:p>
            <w:pPr>
              <w:spacing w:before="80" w:after="80"/>
              <w:jc w:val="center"/>
            </w:pPr>
            <w:r>
              <w:rPr>
                <w:rFonts w:ascii="Calibri" w:hAnsi="Calibri"/>
                <w:b/>
                <w:i w:val="0"/>
                <w:color w:val="FFFFFF"/>
                <w:sz w:val="19"/>
              </w:rPr>
              <w:t>Disetujui Oleh</w:t>
            </w:r>
          </w:p>
        </w:tc>
      </w:tr>
      <w:tr>
        <w:tc>
          <w:tcPr>
            <w:tcW w:type="dxa" w:w="1020"/>
            <w:shd w:val="clear" w:color="auto" w:fill="F2F7FC"/>
          </w:tcPr>
          <w:p>
            <w:pPr>
              <w:spacing w:before="60" w:after="60"/>
              <w:jc w:val="center"/>
            </w:pPr>
            <w:r>
              <w:rPr>
                <w:rFonts w:ascii="Calibri" w:hAnsi="Calibri"/>
                <w:b w:val="0"/>
                <w:i w:val="0"/>
                <w:sz w:val="19"/>
              </w:rPr>
              <w:t>1.0</w:t>
            </w:r>
          </w:p>
        </w:tc>
        <w:tc>
          <w:tcPr>
            <w:tcW w:type="dxa" w:w="1417"/>
            <w:shd w:val="clear" w:color="auto" w:fill="F2F7FC"/>
          </w:tcPr>
          <w:p>
            <w:pPr>
              <w:spacing w:before="60" w:after="60"/>
              <w:jc w:val="center"/>
            </w:pPr>
            <w:r>
              <w:rPr>
                <w:rFonts w:ascii="Calibri" w:hAnsi="Calibri"/>
                <w:b w:val="0"/>
                <w:i w:val="0"/>
                <w:sz w:val="19"/>
              </w:rPr>
              <w:t>Maret 2026</w:t>
            </w:r>
          </w:p>
        </w:tc>
        <w:tc>
          <w:tcPr>
            <w:tcW w:type="dxa" w:w="1417"/>
            <w:shd w:val="clear" w:color="auto" w:fill="F2F7FC"/>
          </w:tcPr>
          <w:p>
            <w:pPr>
              <w:spacing w:before="60" w:after="60"/>
              <w:jc w:val="center"/>
            </w:pPr>
            <w:r>
              <w:rPr>
                <w:rFonts w:ascii="Calibri" w:hAnsi="Calibri"/>
                <w:b w:val="0"/>
                <w:i w:val="0"/>
                <w:sz w:val="19"/>
              </w:rPr>
              <w:t>Tim ISMS</w:t>
            </w:r>
          </w:p>
        </w:tc>
        <w:tc>
          <w:tcPr>
            <w:tcW w:type="dxa" w:w="3118"/>
            <w:shd w:val="clear" w:color="auto" w:fill="F2F7FC"/>
          </w:tcPr>
          <w:p>
            <w:pPr>
              <w:spacing w:before="60" w:after="60"/>
              <w:jc w:val="center"/>
            </w:pPr>
            <w:r>
              <w:rPr>
                <w:rFonts w:ascii="Calibri" w:hAnsi="Calibri"/>
                <w:b w:val="0"/>
                <w:i w:val="0"/>
                <w:sz w:val="19"/>
              </w:rPr>
              <w:t>Dokumen pertama kali diterbitkan</w:t>
            </w:r>
          </w:p>
        </w:tc>
        <w:tc>
          <w:tcPr>
            <w:tcW w:type="dxa" w:w="1814"/>
            <w:shd w:val="clear" w:color="auto" w:fill="F2F7FC"/>
          </w:tcPr>
          <w:p>
            <w:pPr>
              <w:spacing w:before="60" w:after="60"/>
              <w:jc w:val="center"/>
            </w:pPr>
            <w:r>
              <w:rPr>
                <w:rFonts w:ascii="Calibri" w:hAnsi="Calibri"/>
                <w:b w:val="0"/>
                <w:i w:val="0"/>
                <w:sz w:val="19"/>
              </w:rPr>
              <w:t>Direktur Utama</w:t>
            </w:r>
          </w:p>
        </w:tc>
      </w:tr>
      <w:tr>
        <w:tc>
          <w:tcPr>
            <w:tcW w:type="dxa" w:w="1020"/>
            <w:shd w:val="clear" w:color="auto" w:fill="FFFFFF"/>
          </w:tcPr>
          <w:p>
            <w:pPr>
              <w:spacing w:before="60" w:after="60"/>
              <w:jc w:val="center"/>
            </w:pPr>
            <w:r>
              <w:rPr>
                <w:rFonts w:ascii="Calibri" w:hAnsi="Calibri"/>
                <w:b w:val="0"/>
                <w:i w:val="0"/>
                <w:sz w:val="19"/>
              </w:rPr>
            </w:r>
          </w:p>
        </w:tc>
        <w:tc>
          <w:tcPr>
            <w:tcW w:type="dxa" w:w="1417"/>
            <w:shd w:val="clear" w:color="auto" w:fill="FFFFFF"/>
          </w:tcPr>
          <w:p>
            <w:pPr>
              <w:spacing w:before="60" w:after="60"/>
              <w:jc w:val="center"/>
            </w:pPr>
            <w:r>
              <w:rPr>
                <w:rFonts w:ascii="Calibri" w:hAnsi="Calibri"/>
                <w:b w:val="0"/>
                <w:i w:val="0"/>
                <w:sz w:val="19"/>
              </w:rPr>
            </w:r>
          </w:p>
        </w:tc>
        <w:tc>
          <w:tcPr>
            <w:tcW w:type="dxa" w:w="1417"/>
            <w:shd w:val="clear" w:color="auto" w:fill="FFFFFF"/>
          </w:tcPr>
          <w:p>
            <w:pPr>
              <w:spacing w:before="60" w:after="60"/>
              <w:jc w:val="center"/>
            </w:pPr>
            <w:r>
              <w:rPr>
                <w:rFonts w:ascii="Calibri" w:hAnsi="Calibri"/>
                <w:b w:val="0"/>
                <w:i w:val="0"/>
                <w:sz w:val="19"/>
              </w:rPr>
            </w:r>
          </w:p>
        </w:tc>
        <w:tc>
          <w:tcPr>
            <w:tcW w:type="dxa" w:w="3118"/>
            <w:shd w:val="clear" w:color="auto" w:fill="FFFFFF"/>
          </w:tcPr>
          <w:p>
            <w:pPr>
              <w:spacing w:before="60" w:after="60"/>
              <w:jc w:val="center"/>
            </w:pPr>
            <w:r>
              <w:rPr>
                <w:rFonts w:ascii="Calibri" w:hAnsi="Calibri"/>
                <w:b w:val="0"/>
                <w:i w:val="0"/>
                <w:sz w:val="19"/>
              </w:rPr>
            </w:r>
          </w:p>
        </w:tc>
        <w:tc>
          <w:tcPr>
            <w:tcW w:type="dxa" w:w="1814"/>
            <w:shd w:val="clear" w:color="auto" w:fill="FFFFFF"/>
          </w:tcPr>
          <w:p>
            <w:pPr>
              <w:spacing w:before="60" w:after="60"/>
              <w:jc w:val="center"/>
            </w:pPr>
            <w:r>
              <w:rPr>
                <w:rFonts w:ascii="Calibri" w:hAnsi="Calibri"/>
                <w:b w:val="0"/>
                <w:i w:val="0"/>
                <w:sz w:val="19"/>
              </w:rPr>
            </w:r>
          </w:p>
        </w:tc>
      </w:tr>
    </w:tbl>
    <w:p>
      <w:r>
        <w:br w:type="page"/>
      </w:r>
    </w:p>
    <w:p>
      <w:pPr>
        <w:keepNext/>
        <w:spacing w:before="280" w:after="120"/>
        <w:pBdr>
          <w:left w:val="single" w:sz="24" w:space="8" w:color="2E74B5"/>
        </w:pBdr>
      </w:pPr>
      <w:r>
        <w:rPr>
          <w:rFonts w:ascii="Calibri" w:hAnsi="Calibri"/>
          <w:b/>
          <w:i w:val="0"/>
          <w:color w:val="1F3564"/>
          <w:sz w:val="26"/>
        </w:rPr>
        <w:t>1. TUJUAN</w:t>
      </w:r>
    </w:p>
    <w:p>
      <w:pPr>
        <w:spacing w:before="60" w:after="60"/>
        <w:ind w:firstLine="0"/>
        <w:jc w:val="both"/>
      </w:pPr>
      <w:r>
        <w:rPr>
          <w:rFonts w:ascii="Calibri" w:hAnsi="Calibri"/>
          <w:b w:val="0"/>
          <w:i w:val="0"/>
          <w:sz w:val="21"/>
        </w:rPr>
        <w:t>Kebijakan ini ditetapkan untuk mengatur pengelolaan retensi dokumen dan rekaman (records) di lingkungan PT Equity Life Indonesia (selanjutnya disebut "Perusahaan") secara terstruktur, konsisten, dan sesuai dengan persyaratan ISO/IEC 27001:2022, peraturan perundang-undangan yang berlaku, serta regulasi industri asuransi jiwa yang dikeluarkan oleh Otoritas Jasa Keuangan (OJK).</w:t>
      </w:r>
    </w:p>
    <w:p>
      <w:pPr>
        <w:spacing w:before="60" w:after="60"/>
        <w:ind w:firstLine="0"/>
        <w:jc w:val="both"/>
      </w:pPr>
      <w:r>
        <w:rPr>
          <w:rFonts w:ascii="Calibri" w:hAnsi="Calibri"/>
          <w:b w:val="0"/>
          <w:i w:val="0"/>
          <w:sz w:val="21"/>
        </w:rPr>
        <w:t>Secara spesifik, kebijakan ini bertujuan untuk:</w:t>
      </w:r>
    </w:p>
    <w:p>
      <w:pPr>
        <w:pStyle w:val="ListBullet"/>
        <w:spacing w:before="40" w:after="40"/>
        <w:ind w:left="397"/>
      </w:pPr>
      <w:r>
        <w:rPr>
          <w:rFonts w:ascii="Calibri" w:hAnsi="Calibri"/>
          <w:b w:val="0"/>
          <w:i w:val="0"/>
          <w:sz w:val="21"/>
        </w:rPr>
        <w:t>Memastikan dokumen dan rekaman Perusahaan disimpan, dipelihara, dan dimusnahkan secara terencana.</w:t>
      </w:r>
    </w:p>
    <w:p>
      <w:pPr>
        <w:pStyle w:val="ListBullet"/>
        <w:spacing w:before="40" w:after="40"/>
        <w:ind w:left="397"/>
      </w:pPr>
      <w:r>
        <w:rPr>
          <w:rFonts w:ascii="Calibri" w:hAnsi="Calibri"/>
          <w:b w:val="0"/>
          <w:i w:val="0"/>
          <w:sz w:val="21"/>
        </w:rPr>
        <w:t>Melindungi informasi sensitif dari akses tidak sah, kehilangan, dan pemusnahan prematur.</w:t>
      </w:r>
    </w:p>
    <w:p>
      <w:pPr>
        <w:pStyle w:val="ListBullet"/>
        <w:spacing w:before="40" w:after="40"/>
        <w:ind w:left="397"/>
      </w:pPr>
      <w:r>
        <w:rPr>
          <w:rFonts w:ascii="Calibri" w:hAnsi="Calibri"/>
          <w:b w:val="0"/>
          <w:i w:val="0"/>
          <w:sz w:val="21"/>
        </w:rPr>
        <w:t>Mendukung ketersediaan informasi untuk kebutuhan operasional, audit, dan investigasi.</w:t>
      </w:r>
    </w:p>
    <w:p>
      <w:pPr>
        <w:pStyle w:val="ListBullet"/>
        <w:spacing w:before="40" w:after="40"/>
        <w:ind w:left="397"/>
      </w:pPr>
      <w:r>
        <w:rPr>
          <w:rFonts w:ascii="Calibri" w:hAnsi="Calibri"/>
          <w:b w:val="0"/>
          <w:i w:val="0"/>
          <w:sz w:val="21"/>
        </w:rPr>
        <w:t>Memenuhi kewajiban hukum, regulasi, dan kontraktual yang berlaku bagi perusahaan asuransi.</w:t>
      </w:r>
    </w:p>
    <w:p>
      <w:pPr>
        <w:pStyle w:val="ListBullet"/>
        <w:spacing w:before="40" w:after="40"/>
        <w:ind w:left="397"/>
      </w:pPr>
      <w:r>
        <w:rPr>
          <w:rFonts w:ascii="Calibri" w:hAnsi="Calibri"/>
          <w:b w:val="0"/>
          <w:i w:val="0"/>
          <w:sz w:val="21"/>
        </w:rPr>
        <w:t>Mengoptimalkan penggunaan ruang penyimpanan fisik maupun digital.</w:t>
      </w:r>
    </w:p>
    <w:p>
      <w:pPr>
        <w:keepNext/>
        <w:spacing w:before="280" w:after="120"/>
        <w:pBdr>
          <w:left w:val="single" w:sz="24" w:space="8" w:color="2E74B5"/>
        </w:pBdr>
      </w:pPr>
      <w:r>
        <w:rPr>
          <w:rFonts w:ascii="Calibri" w:hAnsi="Calibri"/>
          <w:b/>
          <w:i w:val="0"/>
          <w:color w:val="1F3564"/>
          <w:sz w:val="26"/>
        </w:rPr>
        <w:t>2. RUANG LINGKUP</w:t>
      </w:r>
    </w:p>
    <w:p>
      <w:pPr>
        <w:spacing w:before="60" w:after="60"/>
        <w:ind w:firstLine="0"/>
        <w:jc w:val="both"/>
      </w:pPr>
      <w:r>
        <w:rPr>
          <w:rFonts w:ascii="Calibri" w:hAnsi="Calibri"/>
          <w:b w:val="0"/>
          <w:i w:val="0"/>
          <w:sz w:val="21"/>
        </w:rPr>
        <w:t>Kebijakan ini berlaku untuk seluruh dokumen, rekaman, dan aset informasi yang dibuat, diterima, dikelola, atau disimpan oleh Perusahaan, baik dalam bentuk fisik (kertas) maupun digital/elektronik, yang mencakup:</w:t>
      </w:r>
    </w:p>
    <w:p>
      <w:pPr>
        <w:pStyle w:val="ListBullet"/>
        <w:spacing w:before="40" w:after="40"/>
        <w:ind w:left="397"/>
      </w:pPr>
      <w:r>
        <w:rPr>
          <w:rFonts w:ascii="Calibri" w:hAnsi="Calibri"/>
          <w:b w:val="0"/>
          <w:i w:val="0"/>
          <w:sz w:val="21"/>
        </w:rPr>
        <w:t>Seluruh karyawan, manajemen, dan Direksi PT Equity Life Indonesia.</w:t>
      </w:r>
    </w:p>
    <w:p>
      <w:pPr>
        <w:pStyle w:val="ListBullet"/>
        <w:spacing w:before="40" w:after="40"/>
        <w:ind w:left="397"/>
      </w:pPr>
      <w:r>
        <w:rPr>
          <w:rFonts w:ascii="Calibri" w:hAnsi="Calibri"/>
          <w:b w:val="0"/>
          <w:i w:val="0"/>
          <w:sz w:val="21"/>
        </w:rPr>
        <w:t>Seluruh divisi dan departemen di seluruh unit kerja dan cabang Perusahaan.</w:t>
      </w:r>
    </w:p>
    <w:p>
      <w:pPr>
        <w:pStyle w:val="ListBullet"/>
        <w:spacing w:before="40" w:after="40"/>
        <w:ind w:left="397"/>
      </w:pPr>
      <w:r>
        <w:rPr>
          <w:rFonts w:ascii="Calibri" w:hAnsi="Calibri"/>
          <w:b w:val="0"/>
          <w:i w:val="0"/>
          <w:sz w:val="21"/>
        </w:rPr>
        <w:t>Pihak ketiga (mitra, vendor, konsultan) yang mengakses atau mengelola informasi Perusahaan.</w:t>
      </w:r>
    </w:p>
    <w:p>
      <w:pPr>
        <w:pStyle w:val="ListBullet"/>
        <w:spacing w:before="40" w:after="40"/>
        <w:ind w:left="397"/>
      </w:pPr>
      <w:r>
        <w:rPr>
          <w:rFonts w:ascii="Calibri" w:hAnsi="Calibri"/>
          <w:b w:val="0"/>
          <w:i w:val="0"/>
          <w:sz w:val="21"/>
        </w:rPr>
        <w:t>Semua media penyimpanan: server, cloud, laptop, hard drive, kertas, dan media portabel.</w:t>
      </w:r>
    </w:p>
    <w:p>
      <w:pPr>
        <w:keepNext/>
        <w:spacing w:before="280" w:after="120"/>
        <w:pBdr>
          <w:left w:val="single" w:sz="24" w:space="8" w:color="2E74B5"/>
        </w:pBdr>
      </w:pPr>
      <w:r>
        <w:rPr>
          <w:rFonts w:ascii="Calibri" w:hAnsi="Calibri"/>
          <w:b/>
          <w:i w:val="0"/>
          <w:color w:val="1F3564"/>
          <w:sz w:val="26"/>
        </w:rPr>
        <w:t>3. REFERENSI NORMATIF</w:t>
      </w:r>
    </w:p>
    <w:tbl>
      <w:tblPr>
        <w:tblStyle w:val="TableGrid"/>
        <w:tblW w:type="auto" w:w="0"/>
        <w:tblLook w:firstColumn="1" w:firstRow="1" w:lastColumn="0" w:lastRow="0" w:noHBand="0" w:noVBand="1" w:val="04A0"/>
      </w:tblPr>
      <w:tblGrid>
        <w:gridCol w:w="4536"/>
        <w:gridCol w:w="4536"/>
      </w:tblGrid>
      <w:tr>
        <w:tc>
          <w:tcPr>
            <w:tcW w:type="dxa" w:w="3118"/>
            <w:shd w:val="clear" w:color="auto" w:fill="1F3564"/>
          </w:tcPr>
          <w:p>
            <w:pPr>
              <w:spacing w:before="80" w:after="80"/>
              <w:ind w:left="85"/>
            </w:pPr>
            <w:r>
              <w:rPr>
                <w:rFonts w:ascii="Calibri" w:hAnsi="Calibri"/>
                <w:b/>
                <w:i w:val="0"/>
                <w:color w:val="FFFFFF"/>
                <w:sz w:val="19"/>
              </w:rPr>
              <w:t>Referensi</w:t>
            </w:r>
          </w:p>
        </w:tc>
        <w:tc>
          <w:tcPr>
            <w:tcW w:type="dxa" w:w="5669"/>
            <w:shd w:val="clear" w:color="auto" w:fill="1F3564"/>
          </w:tcPr>
          <w:p>
            <w:pPr>
              <w:spacing w:before="80" w:after="80"/>
              <w:ind w:left="85"/>
            </w:pPr>
            <w:r>
              <w:rPr>
                <w:rFonts w:ascii="Calibri" w:hAnsi="Calibri"/>
                <w:b/>
                <w:i w:val="0"/>
                <w:color w:val="FFFFFF"/>
                <w:sz w:val="19"/>
              </w:rPr>
              <w:t>Keterangan</w:t>
            </w:r>
          </w:p>
        </w:tc>
      </w:tr>
      <w:tr>
        <w:tc>
          <w:tcPr>
            <w:tcW w:type="dxa" w:w="3118"/>
            <w:shd w:val="clear" w:color="auto" w:fill="FFFFFF"/>
          </w:tcPr>
          <w:p>
            <w:pPr>
              <w:spacing w:before="80" w:after="80"/>
              <w:ind w:left="85"/>
            </w:pPr>
            <w:r>
              <w:rPr>
                <w:rFonts w:ascii="Calibri" w:hAnsi="Calibri"/>
                <w:b w:val="0"/>
                <w:i w:val="0"/>
                <w:color w:val="1A1A2E"/>
                <w:sz w:val="19"/>
              </w:rPr>
              <w:t>ISO/IEC 27001:2022</w:t>
            </w:r>
          </w:p>
        </w:tc>
        <w:tc>
          <w:tcPr>
            <w:tcW w:type="dxa" w:w="5669"/>
            <w:shd w:val="clear" w:color="auto" w:fill="FFFFFF"/>
          </w:tcPr>
          <w:p>
            <w:pPr>
              <w:spacing w:before="80" w:after="80"/>
              <w:ind w:left="85"/>
            </w:pPr>
            <w:r>
              <w:rPr>
                <w:rFonts w:ascii="Calibri" w:hAnsi="Calibri"/>
                <w:b w:val="0"/>
                <w:i w:val="0"/>
                <w:color w:val="1A1A2E"/>
                <w:sz w:val="19"/>
              </w:rPr>
              <w:t>Klausul 7.5 – Informasi Terdokumentasi; Annex A 5.28, 5.29, 5.33</w:t>
            </w:r>
          </w:p>
        </w:tc>
      </w:tr>
      <w:tr>
        <w:tc>
          <w:tcPr>
            <w:tcW w:type="dxa" w:w="3118"/>
            <w:shd w:val="clear" w:color="auto" w:fill="F2F7FC"/>
          </w:tcPr>
          <w:p>
            <w:pPr>
              <w:spacing w:before="80" w:after="80"/>
              <w:ind w:left="85"/>
            </w:pPr>
            <w:r>
              <w:rPr>
                <w:rFonts w:ascii="Calibri" w:hAnsi="Calibri"/>
                <w:b w:val="0"/>
                <w:i w:val="0"/>
                <w:color w:val="1A1A2E"/>
                <w:sz w:val="19"/>
              </w:rPr>
              <w:t>ISO/IEC 27002:2022</w:t>
            </w:r>
          </w:p>
        </w:tc>
        <w:tc>
          <w:tcPr>
            <w:tcW w:type="dxa" w:w="5669"/>
            <w:shd w:val="clear" w:color="auto" w:fill="F2F7FC"/>
          </w:tcPr>
          <w:p>
            <w:pPr>
              <w:spacing w:before="80" w:after="80"/>
              <w:ind w:left="85"/>
            </w:pPr>
            <w:r>
              <w:rPr>
                <w:rFonts w:ascii="Calibri" w:hAnsi="Calibri"/>
                <w:b w:val="0"/>
                <w:i w:val="0"/>
                <w:color w:val="1A1A2E"/>
                <w:sz w:val="19"/>
              </w:rPr>
              <w:t>Panduan implementasi kontrol keamanan informasi</w:t>
            </w:r>
          </w:p>
        </w:tc>
      </w:tr>
      <w:tr>
        <w:tc>
          <w:tcPr>
            <w:tcW w:type="dxa" w:w="3118"/>
            <w:shd w:val="clear" w:color="auto" w:fill="FFFFFF"/>
          </w:tcPr>
          <w:p>
            <w:pPr>
              <w:spacing w:before="80" w:after="80"/>
              <w:ind w:left="85"/>
            </w:pPr>
            <w:r>
              <w:rPr>
                <w:rFonts w:ascii="Calibri" w:hAnsi="Calibri"/>
                <w:b w:val="0"/>
                <w:i w:val="0"/>
                <w:color w:val="1A1A2E"/>
                <w:sz w:val="19"/>
              </w:rPr>
              <w:t>UU No. 43 Tahun 2009</w:t>
            </w:r>
          </w:p>
        </w:tc>
        <w:tc>
          <w:tcPr>
            <w:tcW w:type="dxa" w:w="5669"/>
            <w:shd w:val="clear" w:color="auto" w:fill="FFFFFF"/>
          </w:tcPr>
          <w:p>
            <w:pPr>
              <w:spacing w:before="80" w:after="80"/>
              <w:ind w:left="85"/>
            </w:pPr>
            <w:r>
              <w:rPr>
                <w:rFonts w:ascii="Calibri" w:hAnsi="Calibri"/>
                <w:b w:val="0"/>
                <w:i w:val="0"/>
                <w:color w:val="1A1A2E"/>
                <w:sz w:val="19"/>
              </w:rPr>
              <w:t>Undang-Undang tentang Kearsipan</w:t>
            </w:r>
          </w:p>
        </w:tc>
      </w:tr>
      <w:tr>
        <w:tc>
          <w:tcPr>
            <w:tcW w:type="dxa" w:w="3118"/>
            <w:shd w:val="clear" w:color="auto" w:fill="F2F7FC"/>
          </w:tcPr>
          <w:p>
            <w:pPr>
              <w:spacing w:before="80" w:after="80"/>
              <w:ind w:left="85"/>
            </w:pPr>
            <w:r>
              <w:rPr>
                <w:rFonts w:ascii="Calibri" w:hAnsi="Calibri"/>
                <w:b w:val="0"/>
                <w:i w:val="0"/>
                <w:color w:val="1A1A2E"/>
                <w:sz w:val="19"/>
              </w:rPr>
              <w:t>PP No. 28 Tahun 2012</w:t>
            </w:r>
          </w:p>
        </w:tc>
        <w:tc>
          <w:tcPr>
            <w:tcW w:type="dxa" w:w="5669"/>
            <w:shd w:val="clear" w:color="auto" w:fill="F2F7FC"/>
          </w:tcPr>
          <w:p>
            <w:pPr>
              <w:spacing w:before="80" w:after="80"/>
              <w:ind w:left="85"/>
            </w:pPr>
            <w:r>
              <w:rPr>
                <w:rFonts w:ascii="Calibri" w:hAnsi="Calibri"/>
                <w:b w:val="0"/>
                <w:i w:val="0"/>
                <w:color w:val="1A1A2E"/>
                <w:sz w:val="19"/>
              </w:rPr>
              <w:t>Pelaksanaan UU Kearsipan</w:t>
            </w:r>
          </w:p>
        </w:tc>
      </w:tr>
      <w:tr>
        <w:tc>
          <w:tcPr>
            <w:tcW w:type="dxa" w:w="3118"/>
            <w:shd w:val="clear" w:color="auto" w:fill="FFFFFF"/>
          </w:tcPr>
          <w:p>
            <w:pPr>
              <w:spacing w:before="80" w:after="80"/>
              <w:ind w:left="85"/>
            </w:pPr>
            <w:r>
              <w:rPr>
                <w:rFonts w:ascii="Calibri" w:hAnsi="Calibri"/>
                <w:b w:val="0"/>
                <w:i w:val="0"/>
                <w:color w:val="1A1A2E"/>
                <w:sz w:val="19"/>
              </w:rPr>
              <w:t>POJK No. 71/POJK.05/2016</w:t>
            </w:r>
          </w:p>
        </w:tc>
        <w:tc>
          <w:tcPr>
            <w:tcW w:type="dxa" w:w="5669"/>
            <w:shd w:val="clear" w:color="auto" w:fill="FFFFFF"/>
          </w:tcPr>
          <w:p>
            <w:pPr>
              <w:spacing w:before="80" w:after="80"/>
              <w:ind w:left="85"/>
            </w:pPr>
            <w:r>
              <w:rPr>
                <w:rFonts w:ascii="Calibri" w:hAnsi="Calibri"/>
                <w:b w:val="0"/>
                <w:i w:val="0"/>
                <w:color w:val="1A1A2E"/>
                <w:sz w:val="19"/>
              </w:rPr>
              <w:t>Penyelenggaraan Usaha Perusahaan Asuransi</w:t>
            </w:r>
          </w:p>
        </w:tc>
      </w:tr>
      <w:tr>
        <w:tc>
          <w:tcPr>
            <w:tcW w:type="dxa" w:w="3118"/>
            <w:shd w:val="clear" w:color="auto" w:fill="F2F7FC"/>
          </w:tcPr>
          <w:p>
            <w:pPr>
              <w:spacing w:before="80" w:after="80"/>
              <w:ind w:left="85"/>
            </w:pPr>
            <w:r>
              <w:rPr>
                <w:rFonts w:ascii="Calibri" w:hAnsi="Calibri"/>
                <w:b w:val="0"/>
                <w:i w:val="0"/>
                <w:color w:val="1A1A2E"/>
                <w:sz w:val="19"/>
              </w:rPr>
              <w:t>POJK No. 14/POJK.01/2017</w:t>
            </w:r>
          </w:p>
        </w:tc>
        <w:tc>
          <w:tcPr>
            <w:tcW w:type="dxa" w:w="5669"/>
            <w:shd w:val="clear" w:color="auto" w:fill="F2F7FC"/>
          </w:tcPr>
          <w:p>
            <w:pPr>
              <w:spacing w:before="80" w:after="80"/>
              <w:ind w:left="85"/>
            </w:pPr>
            <w:r>
              <w:rPr>
                <w:rFonts w:ascii="Calibri" w:hAnsi="Calibri"/>
                <w:b w:val="0"/>
                <w:i w:val="0"/>
                <w:color w:val="1A1A2E"/>
                <w:sz w:val="19"/>
              </w:rPr>
              <w:t>Sapras dan Sistem Informasi Lembaga Jasa Keuangan</w:t>
            </w:r>
          </w:p>
        </w:tc>
      </w:tr>
      <w:tr>
        <w:tc>
          <w:tcPr>
            <w:tcW w:type="dxa" w:w="3118"/>
            <w:shd w:val="clear" w:color="auto" w:fill="FFFFFF"/>
          </w:tcPr>
          <w:p>
            <w:pPr>
              <w:spacing w:before="80" w:after="80"/>
              <w:ind w:left="85"/>
            </w:pPr>
            <w:r>
              <w:rPr>
                <w:rFonts w:ascii="Calibri" w:hAnsi="Calibri"/>
                <w:b w:val="0"/>
                <w:i w:val="0"/>
                <w:color w:val="1A1A2E"/>
                <w:sz w:val="19"/>
              </w:rPr>
              <w:t>UU No. 27 Tahun 2022</w:t>
            </w:r>
          </w:p>
        </w:tc>
        <w:tc>
          <w:tcPr>
            <w:tcW w:type="dxa" w:w="5669"/>
            <w:shd w:val="clear" w:color="auto" w:fill="FFFFFF"/>
          </w:tcPr>
          <w:p>
            <w:pPr>
              <w:spacing w:before="80" w:after="80"/>
              <w:ind w:left="85"/>
            </w:pPr>
            <w:r>
              <w:rPr>
                <w:rFonts w:ascii="Calibri" w:hAnsi="Calibri"/>
                <w:b w:val="0"/>
                <w:i w:val="0"/>
                <w:color w:val="1A1A2E"/>
                <w:sz w:val="19"/>
              </w:rPr>
              <w:t>Perlindungan Data Pribadi (PDP)</w:t>
            </w:r>
          </w:p>
        </w:tc>
      </w:tr>
      <w:tr>
        <w:tc>
          <w:tcPr>
            <w:tcW w:type="dxa" w:w="3118"/>
            <w:shd w:val="clear" w:color="auto" w:fill="F2F7FC"/>
          </w:tcPr>
          <w:p>
            <w:pPr>
              <w:spacing w:before="80" w:after="80"/>
              <w:ind w:left="85"/>
            </w:pPr>
            <w:r>
              <w:rPr>
                <w:rFonts w:ascii="Calibri" w:hAnsi="Calibri"/>
                <w:b w:val="0"/>
                <w:i w:val="0"/>
                <w:color w:val="1A1A2E"/>
                <w:sz w:val="19"/>
              </w:rPr>
              <w:t>SEOJK No. 19/SEOJK.05/2020</w:t>
            </w:r>
          </w:p>
        </w:tc>
        <w:tc>
          <w:tcPr>
            <w:tcW w:type="dxa" w:w="5669"/>
            <w:shd w:val="clear" w:color="auto" w:fill="F2F7FC"/>
          </w:tcPr>
          <w:p>
            <w:pPr>
              <w:spacing w:before="80" w:after="80"/>
              <w:ind w:left="85"/>
            </w:pPr>
            <w:r>
              <w:rPr>
                <w:rFonts w:ascii="Calibri" w:hAnsi="Calibri"/>
                <w:b w:val="0"/>
                <w:i w:val="0"/>
                <w:color w:val="1A1A2E"/>
                <w:sz w:val="19"/>
              </w:rPr>
              <w:t>Penyelenggaraan Sistem Informasi Perusahaan Asuransi</w:t>
            </w:r>
          </w:p>
        </w:tc>
      </w:tr>
    </w:tbl>
    <w:p>
      <w:pPr>
        <w:keepNext/>
        <w:spacing w:before="280" w:after="120"/>
        <w:pBdr>
          <w:left w:val="single" w:sz="24" w:space="8" w:color="2E74B5"/>
        </w:pBdr>
      </w:pPr>
      <w:r>
        <w:rPr>
          <w:rFonts w:ascii="Calibri" w:hAnsi="Calibri"/>
          <w:b/>
          <w:i w:val="0"/>
          <w:color w:val="1F3564"/>
          <w:sz w:val="26"/>
        </w:rPr>
        <w:t>4. DEFINISI DAN ISTILAH</w:t>
      </w:r>
    </w:p>
    <w:tbl>
      <w:tblPr>
        <w:tblStyle w:val="TableGrid"/>
        <w:tblW w:type="auto" w:w="0"/>
        <w:tblLook w:firstColumn="1" w:firstRow="1" w:lastColumn="0" w:lastRow="0" w:noHBand="0" w:noVBand="1" w:val="04A0"/>
      </w:tblPr>
      <w:tblGrid>
        <w:gridCol w:w="3024"/>
        <w:gridCol w:w="3024"/>
        <w:gridCol w:w="3024"/>
      </w:tblGrid>
      <w:tr>
        <w:tc>
          <w:tcPr>
            <w:tcW w:type="dxa" w:w="454"/>
            <w:shd w:val="clear" w:color="auto" w:fill="1F3564"/>
          </w:tcPr>
          <w:p>
            <w:pPr>
              <w:spacing w:before="80" w:after="80"/>
              <w:jc w:val="center"/>
            </w:pPr>
            <w:r>
              <w:rPr>
                <w:rFonts w:ascii="Calibri" w:hAnsi="Calibri"/>
                <w:b/>
                <w:i w:val="0"/>
                <w:color w:val="FFFFFF"/>
                <w:sz w:val="19"/>
              </w:rPr>
              <w:t>No.</w:t>
            </w:r>
          </w:p>
        </w:tc>
        <w:tc>
          <w:tcPr>
            <w:tcW w:type="dxa" w:w="2381"/>
            <w:shd w:val="clear" w:color="auto" w:fill="1F3564"/>
          </w:tcPr>
          <w:p>
            <w:pPr>
              <w:spacing w:before="80" w:after="80"/>
              <w:jc w:val="center"/>
            </w:pPr>
            <w:r>
              <w:rPr>
                <w:rFonts w:ascii="Calibri" w:hAnsi="Calibri"/>
                <w:b/>
                <w:i w:val="0"/>
                <w:color w:val="FFFFFF"/>
                <w:sz w:val="19"/>
              </w:rPr>
              <w:t>Istilah</w:t>
            </w:r>
          </w:p>
        </w:tc>
        <w:tc>
          <w:tcPr>
            <w:tcW w:type="dxa" w:w="5953"/>
            <w:shd w:val="clear" w:color="auto" w:fill="1F3564"/>
          </w:tcPr>
          <w:p>
            <w:pPr>
              <w:spacing w:before="80" w:after="80"/>
              <w:jc w:val="center"/>
            </w:pPr>
            <w:r>
              <w:rPr>
                <w:rFonts w:ascii="Calibri" w:hAnsi="Calibri"/>
                <w:b/>
                <w:i w:val="0"/>
                <w:color w:val="FFFFFF"/>
                <w:sz w:val="19"/>
              </w:rPr>
              <w:t>Definisi</w:t>
            </w:r>
          </w:p>
        </w:tc>
      </w:tr>
      <w:tr>
        <w:tc>
          <w:tcPr>
            <w:tcW w:type="dxa" w:w="454"/>
            <w:shd w:val="clear" w:color="auto" w:fill="F2F7FC"/>
          </w:tcPr>
          <w:p>
            <w:pPr>
              <w:spacing w:before="60" w:after="60"/>
              <w:ind w:left="57"/>
              <w:jc w:val="center"/>
            </w:pPr>
            <w:r>
              <w:rPr>
                <w:rFonts w:ascii="Calibri" w:hAnsi="Calibri"/>
                <w:b w:val="0"/>
                <w:i w:val="0"/>
                <w:sz w:val="19"/>
              </w:rPr>
              <w:t>1</w:t>
            </w:r>
          </w:p>
        </w:tc>
        <w:tc>
          <w:tcPr>
            <w:tcW w:type="dxa" w:w="2381"/>
            <w:shd w:val="clear" w:color="auto" w:fill="F2F7FC"/>
          </w:tcPr>
          <w:p>
            <w:pPr>
              <w:spacing w:before="60" w:after="60"/>
              <w:ind w:left="57"/>
            </w:pPr>
            <w:r>
              <w:rPr>
                <w:rFonts w:ascii="Calibri" w:hAnsi="Calibri"/>
                <w:b/>
                <w:i w:val="0"/>
                <w:sz w:val="19"/>
              </w:rPr>
              <w:t>Dokumen</w:t>
            </w:r>
          </w:p>
        </w:tc>
        <w:tc>
          <w:tcPr>
            <w:tcW w:type="dxa" w:w="5953"/>
            <w:shd w:val="clear" w:color="auto" w:fill="F2F7FC"/>
          </w:tcPr>
          <w:p>
            <w:pPr>
              <w:spacing w:before="60" w:after="60"/>
              <w:ind w:left="57"/>
            </w:pPr>
            <w:r>
              <w:rPr>
                <w:rFonts w:ascii="Calibri" w:hAnsi="Calibri"/>
                <w:b w:val="0"/>
                <w:i w:val="0"/>
                <w:sz w:val="19"/>
              </w:rPr>
              <w:t>Informasi beserta media pendukungnya yang digunakan sebagai bukti dan referensi dalam pengelolaan organisasi, baik berupa kebijakan, prosedur, instruksi kerja, atau formulir.</w:t>
            </w:r>
          </w:p>
        </w:tc>
      </w:tr>
      <w:tr>
        <w:tc>
          <w:tcPr>
            <w:tcW w:type="dxa" w:w="454"/>
            <w:shd w:val="clear" w:color="auto" w:fill="FFFFFF"/>
          </w:tcPr>
          <w:p>
            <w:pPr>
              <w:spacing w:before="60" w:after="60"/>
              <w:ind w:left="57"/>
              <w:jc w:val="center"/>
            </w:pPr>
            <w:r>
              <w:rPr>
                <w:rFonts w:ascii="Calibri" w:hAnsi="Calibri"/>
                <w:b w:val="0"/>
                <w:i w:val="0"/>
                <w:sz w:val="19"/>
              </w:rPr>
              <w:t>2</w:t>
            </w:r>
          </w:p>
        </w:tc>
        <w:tc>
          <w:tcPr>
            <w:tcW w:type="dxa" w:w="2381"/>
            <w:shd w:val="clear" w:color="auto" w:fill="FFFFFF"/>
          </w:tcPr>
          <w:p>
            <w:pPr>
              <w:spacing w:before="60" w:after="60"/>
              <w:ind w:left="57"/>
            </w:pPr>
            <w:r>
              <w:rPr>
                <w:rFonts w:ascii="Calibri" w:hAnsi="Calibri"/>
                <w:b/>
                <w:i w:val="0"/>
                <w:sz w:val="19"/>
              </w:rPr>
              <w:t>Rekaman (Record)</w:t>
            </w:r>
          </w:p>
        </w:tc>
        <w:tc>
          <w:tcPr>
            <w:tcW w:type="dxa" w:w="5953"/>
            <w:shd w:val="clear" w:color="auto" w:fill="FFFFFF"/>
          </w:tcPr>
          <w:p>
            <w:pPr>
              <w:spacing w:before="60" w:after="60"/>
              <w:ind w:left="57"/>
            </w:pPr>
            <w:r>
              <w:rPr>
                <w:rFonts w:ascii="Calibri" w:hAnsi="Calibri"/>
                <w:b w:val="0"/>
                <w:i w:val="0"/>
                <w:sz w:val="19"/>
              </w:rPr>
              <w:t>Dokumen yang menyatakan hasil yang dicapai atau memberikan bukti pelaksanaan kegiatan, termasuk log audit, laporan keuangan, dan catatan transaksi nasabah.</w:t>
            </w:r>
          </w:p>
        </w:tc>
      </w:tr>
      <w:tr>
        <w:tc>
          <w:tcPr>
            <w:tcW w:type="dxa" w:w="454"/>
            <w:shd w:val="clear" w:color="auto" w:fill="F2F7FC"/>
          </w:tcPr>
          <w:p>
            <w:pPr>
              <w:spacing w:before="60" w:after="60"/>
              <w:ind w:left="57"/>
              <w:jc w:val="center"/>
            </w:pPr>
            <w:r>
              <w:rPr>
                <w:rFonts w:ascii="Calibri" w:hAnsi="Calibri"/>
                <w:b w:val="0"/>
                <w:i w:val="0"/>
                <w:sz w:val="19"/>
              </w:rPr>
              <w:t>3</w:t>
            </w:r>
          </w:p>
        </w:tc>
        <w:tc>
          <w:tcPr>
            <w:tcW w:type="dxa" w:w="2381"/>
            <w:shd w:val="clear" w:color="auto" w:fill="F2F7FC"/>
          </w:tcPr>
          <w:p>
            <w:pPr>
              <w:spacing w:before="60" w:after="60"/>
              <w:ind w:left="57"/>
            </w:pPr>
            <w:r>
              <w:rPr>
                <w:rFonts w:ascii="Calibri" w:hAnsi="Calibri"/>
                <w:b/>
                <w:i w:val="0"/>
                <w:sz w:val="19"/>
              </w:rPr>
              <w:t>Retensi Dokumen</w:t>
            </w:r>
          </w:p>
        </w:tc>
        <w:tc>
          <w:tcPr>
            <w:tcW w:type="dxa" w:w="5953"/>
            <w:shd w:val="clear" w:color="auto" w:fill="F2F7FC"/>
          </w:tcPr>
          <w:p>
            <w:pPr>
              <w:spacing w:before="60" w:after="60"/>
              <w:ind w:left="57"/>
            </w:pPr>
            <w:r>
              <w:rPr>
                <w:rFonts w:ascii="Calibri" w:hAnsi="Calibri"/>
                <w:b w:val="0"/>
                <w:i w:val="0"/>
                <w:sz w:val="19"/>
              </w:rPr>
              <w:t>Jangka waktu yang ditetapkan untuk menyimpan suatu dokumen atau rekaman sebelum dimusnahkan atau diarsipkan secara permanen.</w:t>
            </w:r>
          </w:p>
        </w:tc>
      </w:tr>
      <w:tr>
        <w:tc>
          <w:tcPr>
            <w:tcW w:type="dxa" w:w="454"/>
            <w:shd w:val="clear" w:color="auto" w:fill="FFFFFF"/>
          </w:tcPr>
          <w:p>
            <w:pPr>
              <w:spacing w:before="60" w:after="60"/>
              <w:ind w:left="57"/>
              <w:jc w:val="center"/>
            </w:pPr>
            <w:r>
              <w:rPr>
                <w:rFonts w:ascii="Calibri" w:hAnsi="Calibri"/>
                <w:b w:val="0"/>
                <w:i w:val="0"/>
                <w:sz w:val="19"/>
              </w:rPr>
              <w:t>4</w:t>
            </w:r>
          </w:p>
        </w:tc>
        <w:tc>
          <w:tcPr>
            <w:tcW w:type="dxa" w:w="2381"/>
            <w:shd w:val="clear" w:color="auto" w:fill="FFFFFF"/>
          </w:tcPr>
          <w:p>
            <w:pPr>
              <w:spacing w:before="60" w:after="60"/>
              <w:ind w:left="57"/>
            </w:pPr>
            <w:r>
              <w:rPr>
                <w:rFonts w:ascii="Calibri" w:hAnsi="Calibri"/>
                <w:b/>
                <w:i w:val="0"/>
                <w:sz w:val="19"/>
              </w:rPr>
              <w:t>Jadwal Retensi</w:t>
            </w:r>
          </w:p>
        </w:tc>
        <w:tc>
          <w:tcPr>
            <w:tcW w:type="dxa" w:w="5953"/>
            <w:shd w:val="clear" w:color="auto" w:fill="FFFFFF"/>
          </w:tcPr>
          <w:p>
            <w:pPr>
              <w:spacing w:before="60" w:after="60"/>
              <w:ind w:left="57"/>
            </w:pPr>
            <w:r>
              <w:rPr>
                <w:rFonts w:ascii="Calibri" w:hAnsi="Calibri"/>
                <w:b w:val="0"/>
                <w:i w:val="0"/>
                <w:sz w:val="19"/>
              </w:rPr>
              <w:t>Daftar sistematis yang memuat kategori dokumen beserta periode retensi yang ditetapkan.</w:t>
            </w:r>
          </w:p>
        </w:tc>
      </w:tr>
      <w:tr>
        <w:tc>
          <w:tcPr>
            <w:tcW w:type="dxa" w:w="454"/>
            <w:shd w:val="clear" w:color="auto" w:fill="F2F7FC"/>
          </w:tcPr>
          <w:p>
            <w:pPr>
              <w:spacing w:before="60" w:after="60"/>
              <w:ind w:left="57"/>
              <w:jc w:val="center"/>
            </w:pPr>
            <w:r>
              <w:rPr>
                <w:rFonts w:ascii="Calibri" w:hAnsi="Calibri"/>
                <w:b w:val="0"/>
                <w:i w:val="0"/>
                <w:sz w:val="19"/>
              </w:rPr>
              <w:t>5</w:t>
            </w:r>
          </w:p>
        </w:tc>
        <w:tc>
          <w:tcPr>
            <w:tcW w:type="dxa" w:w="2381"/>
            <w:shd w:val="clear" w:color="auto" w:fill="F2F7FC"/>
          </w:tcPr>
          <w:p>
            <w:pPr>
              <w:spacing w:before="60" w:after="60"/>
              <w:ind w:left="57"/>
            </w:pPr>
            <w:r>
              <w:rPr>
                <w:rFonts w:ascii="Calibri" w:hAnsi="Calibri"/>
                <w:b/>
                <w:i w:val="0"/>
                <w:sz w:val="19"/>
              </w:rPr>
              <w:t>Pemusnahan Dokumen</w:t>
            </w:r>
          </w:p>
        </w:tc>
        <w:tc>
          <w:tcPr>
            <w:tcW w:type="dxa" w:w="5953"/>
            <w:shd w:val="clear" w:color="auto" w:fill="F2F7FC"/>
          </w:tcPr>
          <w:p>
            <w:pPr>
              <w:spacing w:before="60" w:after="60"/>
              <w:ind w:left="57"/>
            </w:pPr>
            <w:r>
              <w:rPr>
                <w:rFonts w:ascii="Calibri" w:hAnsi="Calibri"/>
                <w:b w:val="0"/>
                <w:i w:val="0"/>
                <w:sz w:val="19"/>
              </w:rPr>
              <w:t>Tindakan penghapusan atau penghancuran dokumen secara permanen sehingga tidak dapat dipulihkan kembali.</w:t>
            </w:r>
          </w:p>
        </w:tc>
      </w:tr>
      <w:tr>
        <w:tc>
          <w:tcPr>
            <w:tcW w:type="dxa" w:w="454"/>
            <w:shd w:val="clear" w:color="auto" w:fill="FFFFFF"/>
          </w:tcPr>
          <w:p>
            <w:pPr>
              <w:spacing w:before="60" w:after="60"/>
              <w:ind w:left="57"/>
              <w:jc w:val="center"/>
            </w:pPr>
            <w:r>
              <w:rPr>
                <w:rFonts w:ascii="Calibri" w:hAnsi="Calibri"/>
                <w:b w:val="0"/>
                <w:i w:val="0"/>
                <w:sz w:val="19"/>
              </w:rPr>
              <w:t>6</w:t>
            </w:r>
          </w:p>
        </w:tc>
        <w:tc>
          <w:tcPr>
            <w:tcW w:type="dxa" w:w="2381"/>
            <w:shd w:val="clear" w:color="auto" w:fill="FFFFFF"/>
          </w:tcPr>
          <w:p>
            <w:pPr>
              <w:spacing w:before="60" w:after="60"/>
              <w:ind w:left="57"/>
            </w:pPr>
            <w:r>
              <w:rPr>
                <w:rFonts w:ascii="Calibri" w:hAnsi="Calibri"/>
                <w:b/>
                <w:i w:val="0"/>
                <w:sz w:val="19"/>
              </w:rPr>
              <w:t>Dokumen Aktif</w:t>
            </w:r>
          </w:p>
        </w:tc>
        <w:tc>
          <w:tcPr>
            <w:tcW w:type="dxa" w:w="5953"/>
            <w:shd w:val="clear" w:color="auto" w:fill="FFFFFF"/>
          </w:tcPr>
          <w:p>
            <w:pPr>
              <w:spacing w:before="60" w:after="60"/>
              <w:ind w:left="57"/>
            </w:pPr>
            <w:r>
              <w:rPr>
                <w:rFonts w:ascii="Calibri" w:hAnsi="Calibri"/>
                <w:b w:val="0"/>
                <w:i w:val="0"/>
                <w:sz w:val="19"/>
              </w:rPr>
              <w:t>Dokumen yang masih digunakan secara reguler dalam kegiatan operasional.</w:t>
            </w:r>
          </w:p>
        </w:tc>
      </w:tr>
      <w:tr>
        <w:tc>
          <w:tcPr>
            <w:tcW w:type="dxa" w:w="454"/>
            <w:shd w:val="clear" w:color="auto" w:fill="F2F7FC"/>
          </w:tcPr>
          <w:p>
            <w:pPr>
              <w:spacing w:before="60" w:after="60"/>
              <w:ind w:left="57"/>
              <w:jc w:val="center"/>
            </w:pPr>
            <w:r>
              <w:rPr>
                <w:rFonts w:ascii="Calibri" w:hAnsi="Calibri"/>
                <w:b w:val="0"/>
                <w:i w:val="0"/>
                <w:sz w:val="19"/>
              </w:rPr>
              <w:t>7</w:t>
            </w:r>
          </w:p>
        </w:tc>
        <w:tc>
          <w:tcPr>
            <w:tcW w:type="dxa" w:w="2381"/>
            <w:shd w:val="clear" w:color="auto" w:fill="F2F7FC"/>
          </w:tcPr>
          <w:p>
            <w:pPr>
              <w:spacing w:before="60" w:after="60"/>
              <w:ind w:left="57"/>
            </w:pPr>
            <w:r>
              <w:rPr>
                <w:rFonts w:ascii="Calibri" w:hAnsi="Calibri"/>
                <w:b/>
                <w:i w:val="0"/>
                <w:sz w:val="19"/>
              </w:rPr>
              <w:t>Dokumen Inaktif</w:t>
            </w:r>
          </w:p>
        </w:tc>
        <w:tc>
          <w:tcPr>
            <w:tcW w:type="dxa" w:w="5953"/>
            <w:shd w:val="clear" w:color="auto" w:fill="F2F7FC"/>
          </w:tcPr>
          <w:p>
            <w:pPr>
              <w:spacing w:before="60" w:after="60"/>
              <w:ind w:left="57"/>
            </w:pPr>
            <w:r>
              <w:rPr>
                <w:rFonts w:ascii="Calibri" w:hAnsi="Calibri"/>
                <w:b w:val="0"/>
                <w:i w:val="0"/>
                <w:sz w:val="19"/>
              </w:rPr>
              <w:t>Dokumen yang sudah tidak digunakan secara reguler namun masih perlu disimpan untuk kebutuhan hukum, audit, atau referensi.</w:t>
            </w:r>
          </w:p>
        </w:tc>
      </w:tr>
      <w:tr>
        <w:tc>
          <w:tcPr>
            <w:tcW w:type="dxa" w:w="454"/>
            <w:shd w:val="clear" w:color="auto" w:fill="FFFFFF"/>
          </w:tcPr>
          <w:p>
            <w:pPr>
              <w:spacing w:before="60" w:after="60"/>
              <w:ind w:left="57"/>
              <w:jc w:val="center"/>
            </w:pPr>
            <w:r>
              <w:rPr>
                <w:rFonts w:ascii="Calibri" w:hAnsi="Calibri"/>
                <w:b w:val="0"/>
                <w:i w:val="0"/>
                <w:sz w:val="19"/>
              </w:rPr>
              <w:t>8</w:t>
            </w:r>
          </w:p>
        </w:tc>
        <w:tc>
          <w:tcPr>
            <w:tcW w:type="dxa" w:w="2381"/>
            <w:shd w:val="clear" w:color="auto" w:fill="FFFFFF"/>
          </w:tcPr>
          <w:p>
            <w:pPr>
              <w:spacing w:before="60" w:after="60"/>
              <w:ind w:left="57"/>
            </w:pPr>
            <w:r>
              <w:rPr>
                <w:rFonts w:ascii="Calibri" w:hAnsi="Calibri"/>
                <w:b/>
                <w:i w:val="0"/>
                <w:sz w:val="19"/>
              </w:rPr>
              <w:t>Arsip Permanen</w:t>
            </w:r>
          </w:p>
        </w:tc>
        <w:tc>
          <w:tcPr>
            <w:tcW w:type="dxa" w:w="5953"/>
            <w:shd w:val="clear" w:color="auto" w:fill="FFFFFF"/>
          </w:tcPr>
          <w:p>
            <w:pPr>
              <w:spacing w:before="60" w:after="60"/>
              <w:ind w:left="57"/>
            </w:pPr>
            <w:r>
              <w:rPr>
                <w:rFonts w:ascii="Calibri" w:hAnsi="Calibri"/>
                <w:b w:val="0"/>
                <w:i w:val="0"/>
                <w:sz w:val="19"/>
              </w:rPr>
              <w:t>Dokumen yang memiliki nilai historis atau hukum sehingga disimpan tanpa batas waktu.</w:t>
            </w:r>
          </w:p>
        </w:tc>
      </w:tr>
      <w:tr>
        <w:tc>
          <w:tcPr>
            <w:tcW w:type="dxa" w:w="454"/>
            <w:shd w:val="clear" w:color="auto" w:fill="F2F7FC"/>
          </w:tcPr>
          <w:p>
            <w:pPr>
              <w:spacing w:before="60" w:after="60"/>
              <w:ind w:left="57"/>
              <w:jc w:val="center"/>
            </w:pPr>
            <w:r>
              <w:rPr>
                <w:rFonts w:ascii="Calibri" w:hAnsi="Calibri"/>
                <w:b w:val="0"/>
                <w:i w:val="0"/>
                <w:sz w:val="19"/>
              </w:rPr>
              <w:t>9</w:t>
            </w:r>
          </w:p>
        </w:tc>
        <w:tc>
          <w:tcPr>
            <w:tcW w:type="dxa" w:w="2381"/>
            <w:shd w:val="clear" w:color="auto" w:fill="F2F7FC"/>
          </w:tcPr>
          <w:p>
            <w:pPr>
              <w:spacing w:before="60" w:after="60"/>
              <w:ind w:left="57"/>
            </w:pPr>
            <w:r>
              <w:rPr>
                <w:rFonts w:ascii="Calibri" w:hAnsi="Calibri"/>
                <w:b/>
                <w:i w:val="0"/>
                <w:sz w:val="19"/>
              </w:rPr>
              <w:t>Pemilik Dokumen</w:t>
            </w:r>
          </w:p>
        </w:tc>
        <w:tc>
          <w:tcPr>
            <w:tcW w:type="dxa" w:w="5953"/>
            <w:shd w:val="clear" w:color="auto" w:fill="F2F7FC"/>
          </w:tcPr>
          <w:p>
            <w:pPr>
              <w:spacing w:before="60" w:after="60"/>
              <w:ind w:left="57"/>
            </w:pPr>
            <w:r>
              <w:rPr>
                <w:rFonts w:ascii="Calibri" w:hAnsi="Calibri"/>
                <w:b w:val="0"/>
                <w:i w:val="0"/>
                <w:sz w:val="19"/>
              </w:rPr>
              <w:t>Unit kerja atau individu yang bertanggung jawab atas pembuatan, pemeliharaan, dan pemusnahan dokumen.</w:t>
            </w:r>
          </w:p>
        </w:tc>
      </w:tr>
      <w:tr>
        <w:tc>
          <w:tcPr>
            <w:tcW w:type="dxa" w:w="454"/>
            <w:shd w:val="clear" w:color="auto" w:fill="FFFFFF"/>
          </w:tcPr>
          <w:p>
            <w:pPr>
              <w:spacing w:before="60" w:after="60"/>
              <w:ind w:left="57"/>
              <w:jc w:val="center"/>
            </w:pPr>
            <w:r>
              <w:rPr>
                <w:rFonts w:ascii="Calibri" w:hAnsi="Calibri"/>
                <w:b w:val="0"/>
                <w:i w:val="0"/>
                <w:sz w:val="19"/>
              </w:rPr>
              <w:t>10</w:t>
            </w:r>
          </w:p>
        </w:tc>
        <w:tc>
          <w:tcPr>
            <w:tcW w:type="dxa" w:w="2381"/>
            <w:shd w:val="clear" w:color="auto" w:fill="FFFFFF"/>
          </w:tcPr>
          <w:p>
            <w:pPr>
              <w:spacing w:before="60" w:after="60"/>
              <w:ind w:left="57"/>
            </w:pPr>
            <w:r>
              <w:rPr>
                <w:rFonts w:ascii="Calibri" w:hAnsi="Calibri"/>
                <w:b/>
                <w:i w:val="0"/>
                <w:sz w:val="19"/>
              </w:rPr>
              <w:t>DMS</w:t>
            </w:r>
          </w:p>
        </w:tc>
        <w:tc>
          <w:tcPr>
            <w:tcW w:type="dxa" w:w="5953"/>
            <w:shd w:val="clear" w:color="auto" w:fill="FFFFFF"/>
          </w:tcPr>
          <w:p>
            <w:pPr>
              <w:spacing w:before="60" w:after="60"/>
              <w:ind w:left="57"/>
            </w:pPr>
            <w:r>
              <w:rPr>
                <w:rFonts w:ascii="Calibri" w:hAnsi="Calibri"/>
                <w:b w:val="0"/>
                <w:i w:val="0"/>
                <w:sz w:val="19"/>
              </w:rPr>
              <w:t>Document Management System – sistem pengelolaan dokumen elektronik Perusahaan.</w:t>
            </w:r>
          </w:p>
        </w:tc>
      </w:tr>
    </w:tbl>
    <w:p>
      <w:r>
        <w:br w:type="page"/>
      </w:r>
    </w:p>
    <w:p>
      <w:pPr>
        <w:keepNext/>
        <w:spacing w:before="280" w:after="120"/>
        <w:pBdr>
          <w:left w:val="single" w:sz="24" w:space="8" w:color="2E74B5"/>
        </w:pBdr>
      </w:pPr>
      <w:r>
        <w:rPr>
          <w:rFonts w:ascii="Calibri" w:hAnsi="Calibri"/>
          <w:b/>
          <w:i w:val="0"/>
          <w:color w:val="1F3564"/>
          <w:sz w:val="26"/>
        </w:rPr>
        <w:t>5. PERNYATAAN KEBIJAKAN</w:t>
      </w:r>
    </w:p>
    <w:p>
      <w:pPr>
        <w:spacing w:before="200" w:after="80"/>
      </w:pPr>
      <w:r>
        <w:rPr>
          <w:rFonts w:ascii="Calibri" w:hAnsi="Calibri"/>
          <w:b/>
          <w:i w:val="0"/>
          <w:color w:val="2E74B5"/>
          <w:sz w:val="22"/>
        </w:rPr>
        <w:t>5.1  Prinsip Umum</w:t>
      </w:r>
    </w:p>
    <w:p>
      <w:pPr>
        <w:spacing w:before="60" w:after="60"/>
        <w:ind w:firstLine="0"/>
        <w:jc w:val="both"/>
      </w:pPr>
      <w:r>
        <w:rPr>
          <w:rFonts w:ascii="Calibri" w:hAnsi="Calibri"/>
          <w:b w:val="0"/>
          <w:i w:val="0"/>
          <w:sz w:val="21"/>
        </w:rPr>
        <w:t>Perusahaan berkomitmen untuk mengelola seluruh dokumen dan rekaman secara bertanggung jawab dengan mengacu pada prinsip-prinsip berikut:</w:t>
      </w:r>
    </w:p>
    <w:p>
      <w:pPr>
        <w:pStyle w:val="ListBullet"/>
        <w:spacing w:before="40" w:after="40"/>
        <w:ind w:left="397"/>
      </w:pPr>
      <w:r>
        <w:rPr>
          <w:rFonts w:ascii="Calibri" w:hAnsi="Calibri"/>
          <w:b w:val="0"/>
          <w:i w:val="0"/>
          <w:sz w:val="21"/>
        </w:rPr>
        <w:t>Kepatuhan (Compliance): Retensi dokumen dilakukan sesuai dengan peraturan hukum, regulasi OJK, dan standar ISO/IEC 27001:2022.</w:t>
      </w:r>
    </w:p>
    <w:p>
      <w:pPr>
        <w:pStyle w:val="ListBullet"/>
        <w:spacing w:before="40" w:after="40"/>
        <w:ind w:left="397"/>
      </w:pPr>
      <w:r>
        <w:rPr>
          <w:rFonts w:ascii="Calibri" w:hAnsi="Calibri"/>
          <w:b w:val="0"/>
          <w:i w:val="0"/>
          <w:sz w:val="21"/>
        </w:rPr>
        <w:t>Kerahasiaan (Confidentiality): Dokumen yang memuat informasi sensitif dilindungi dari akses tidak sah sepanjang masa retensinya.</w:t>
      </w:r>
    </w:p>
    <w:p>
      <w:pPr>
        <w:pStyle w:val="ListBullet"/>
        <w:spacing w:before="40" w:after="40"/>
        <w:ind w:left="397"/>
      </w:pPr>
      <w:r>
        <w:rPr>
          <w:rFonts w:ascii="Calibri" w:hAnsi="Calibri"/>
          <w:b w:val="0"/>
          <w:i w:val="0"/>
          <w:sz w:val="21"/>
        </w:rPr>
        <w:t>Integritas (Integrity): Dokumen dijaga keaslian dan keakuratannya selama masa retensi berlangsung.</w:t>
      </w:r>
    </w:p>
    <w:p>
      <w:pPr>
        <w:pStyle w:val="ListBullet"/>
        <w:spacing w:before="40" w:after="40"/>
        <w:ind w:left="397"/>
      </w:pPr>
      <w:r>
        <w:rPr>
          <w:rFonts w:ascii="Calibri" w:hAnsi="Calibri"/>
          <w:b w:val="0"/>
          <w:i w:val="0"/>
          <w:sz w:val="21"/>
        </w:rPr>
        <w:t>Ketersediaan (Availability): Dokumen dapat diakses oleh pihak yang berwenang kapanpun diperlukan.</w:t>
      </w:r>
    </w:p>
    <w:p>
      <w:pPr>
        <w:pStyle w:val="ListBullet"/>
        <w:spacing w:before="40" w:after="40"/>
        <w:ind w:left="397"/>
      </w:pPr>
      <w:r>
        <w:rPr>
          <w:rFonts w:ascii="Calibri" w:hAnsi="Calibri"/>
          <w:b w:val="0"/>
          <w:i w:val="0"/>
          <w:sz w:val="21"/>
        </w:rPr>
        <w:t>Akuntabilitas (Accountability): Setiap tahap pengelolaan dokumen tercatat dan dapat dipertanggungjawabkan.</w:t>
      </w:r>
    </w:p>
    <w:p>
      <w:pPr>
        <w:pStyle w:val="ListBullet"/>
        <w:spacing w:before="40" w:after="40"/>
        <w:ind w:left="397"/>
      </w:pPr>
      <w:r>
        <w:rPr>
          <w:rFonts w:ascii="Calibri" w:hAnsi="Calibri"/>
          <w:b w:val="0"/>
          <w:i w:val="0"/>
          <w:sz w:val="21"/>
        </w:rPr>
        <w:t>Proporsionalitas: Periode retensi ditetapkan proporsional terhadap nilai bisnis, hukum, dan risiko informasi.</w:t>
      </w:r>
    </w:p>
    <w:p>
      <w:pPr>
        <w:spacing w:before="200" w:after="80"/>
      </w:pPr>
      <w:r>
        <w:rPr>
          <w:rFonts w:ascii="Calibri" w:hAnsi="Calibri"/>
          <w:b/>
          <w:i w:val="0"/>
          <w:color w:val="2E74B5"/>
          <w:sz w:val="22"/>
        </w:rPr>
        <w:t>5.2  Klasifikasi Dokumen</w:t>
      </w:r>
    </w:p>
    <w:p>
      <w:pPr>
        <w:spacing w:before="60" w:after="60"/>
        <w:ind w:firstLine="0"/>
        <w:jc w:val="both"/>
      </w:pPr>
      <w:r>
        <w:rPr>
          <w:rFonts w:ascii="Calibri" w:hAnsi="Calibri"/>
          <w:b w:val="0"/>
          <w:i w:val="0"/>
          <w:sz w:val="21"/>
        </w:rPr>
        <w:t>Seluruh dokumen Perusahaan diklasifikasikan ke dalam empat tingkat kerahasiaan berikut:</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2E74B5"/>
          </w:tcPr>
          <w:p>
            <w:pPr>
              <w:spacing w:before="80" w:after="80"/>
              <w:jc w:val="center"/>
            </w:pPr>
            <w:r>
              <w:rPr>
                <w:rFonts w:ascii="Calibri" w:hAnsi="Calibri"/>
                <w:b/>
                <w:i w:val="0"/>
                <w:color w:val="FFFFFF"/>
                <w:sz w:val="19"/>
              </w:rPr>
              <w:t>Klasifikasi</w:t>
            </w:r>
          </w:p>
        </w:tc>
        <w:tc>
          <w:tcPr>
            <w:tcW w:type="dxa" w:w="2835"/>
            <w:shd w:val="clear" w:color="auto" w:fill="2E74B5"/>
          </w:tcPr>
          <w:p>
            <w:pPr>
              <w:spacing w:before="80" w:after="80"/>
              <w:jc w:val="center"/>
            </w:pPr>
            <w:r>
              <w:rPr>
                <w:rFonts w:ascii="Calibri" w:hAnsi="Calibri"/>
                <w:b/>
                <w:i w:val="0"/>
                <w:color w:val="FFFFFF"/>
                <w:sz w:val="19"/>
              </w:rPr>
              <w:t>Deskripsi</w:t>
            </w:r>
          </w:p>
        </w:tc>
        <w:tc>
          <w:tcPr>
            <w:tcW w:type="dxa" w:w="3969"/>
            <w:shd w:val="clear" w:color="auto" w:fill="2E74B5"/>
          </w:tcPr>
          <w:p>
            <w:pPr>
              <w:spacing w:before="80" w:after="80"/>
              <w:jc w:val="center"/>
            </w:pPr>
            <w:r>
              <w:rPr>
                <w:rFonts w:ascii="Calibri" w:hAnsi="Calibri"/>
                <w:b/>
                <w:i w:val="0"/>
                <w:color w:val="FFFFFF"/>
                <w:sz w:val="19"/>
              </w:rPr>
              <w:t>Contoh</w:t>
            </w:r>
          </w:p>
        </w:tc>
      </w:tr>
      <w:tr>
        <w:tc>
          <w:tcPr>
            <w:tcW w:type="dxa" w:w="1984"/>
            <w:shd w:val="clear" w:color="auto" w:fill="F2F7FC"/>
          </w:tcPr>
          <w:p>
            <w:pPr>
              <w:spacing w:before="60" w:after="60"/>
              <w:ind w:left="57"/>
            </w:pPr>
            <w:r>
              <w:rPr>
                <w:rFonts w:ascii="Calibri" w:hAnsi="Calibri"/>
                <w:b/>
                <w:i w:val="0"/>
                <w:sz w:val="19"/>
              </w:rPr>
              <w:t>Rahasia (Confidential)</w:t>
            </w:r>
          </w:p>
        </w:tc>
        <w:tc>
          <w:tcPr>
            <w:tcW w:type="dxa" w:w="2835"/>
            <w:shd w:val="clear" w:color="auto" w:fill="F2F7FC"/>
          </w:tcPr>
          <w:p>
            <w:pPr>
              <w:spacing w:before="60" w:after="60"/>
              <w:ind w:left="57"/>
            </w:pPr>
            <w:r>
              <w:rPr>
                <w:rFonts w:ascii="Calibri" w:hAnsi="Calibri"/>
                <w:b w:val="0"/>
                <w:i w:val="0"/>
                <w:sz w:val="19"/>
              </w:rPr>
              <w:t>Informasi sangat sensitif; akses sangat terbatas</w:t>
            </w:r>
          </w:p>
        </w:tc>
        <w:tc>
          <w:tcPr>
            <w:tcW w:type="dxa" w:w="3969"/>
            <w:shd w:val="clear" w:color="auto" w:fill="F2F7FC"/>
          </w:tcPr>
          <w:p>
            <w:pPr>
              <w:spacing w:before="60" w:after="60"/>
              <w:ind w:left="57"/>
            </w:pPr>
            <w:r>
              <w:rPr>
                <w:rFonts w:ascii="Calibri" w:hAnsi="Calibri"/>
                <w:b w:val="0"/>
                <w:i w:val="0"/>
                <w:sz w:val="19"/>
              </w:rPr>
              <w:t>Laporan keuangan konsolidasi, data nasabah, strategi bisnis</w:t>
            </w:r>
          </w:p>
        </w:tc>
      </w:tr>
      <w:tr>
        <w:tc>
          <w:tcPr>
            <w:tcW w:type="dxa" w:w="1984"/>
            <w:shd w:val="clear" w:color="auto" w:fill="FFFFFF"/>
          </w:tcPr>
          <w:p>
            <w:pPr>
              <w:spacing w:before="60" w:after="60"/>
              <w:ind w:left="57"/>
            </w:pPr>
            <w:r>
              <w:rPr>
                <w:rFonts w:ascii="Calibri" w:hAnsi="Calibri"/>
                <w:b/>
                <w:i w:val="0"/>
                <w:sz w:val="19"/>
              </w:rPr>
              <w:t>Terbatas (Restricted)</w:t>
            </w:r>
          </w:p>
        </w:tc>
        <w:tc>
          <w:tcPr>
            <w:tcW w:type="dxa" w:w="2835"/>
            <w:shd w:val="clear" w:color="auto" w:fill="FFFFFF"/>
          </w:tcPr>
          <w:p>
            <w:pPr>
              <w:spacing w:before="60" w:after="60"/>
              <w:ind w:left="57"/>
            </w:pPr>
            <w:r>
              <w:rPr>
                <w:rFonts w:ascii="Calibri" w:hAnsi="Calibri"/>
                <w:b w:val="0"/>
                <w:i w:val="0"/>
                <w:sz w:val="19"/>
              </w:rPr>
              <w:t>Informasi internal; hanya untuk departemen terkait</w:t>
            </w:r>
          </w:p>
        </w:tc>
        <w:tc>
          <w:tcPr>
            <w:tcW w:type="dxa" w:w="3969"/>
            <w:shd w:val="clear" w:color="auto" w:fill="FFFFFF"/>
          </w:tcPr>
          <w:p>
            <w:pPr>
              <w:spacing w:before="60" w:after="60"/>
              <w:ind w:left="57"/>
            </w:pPr>
            <w:r>
              <w:rPr>
                <w:rFonts w:ascii="Calibri" w:hAnsi="Calibri"/>
                <w:b w:val="0"/>
                <w:i w:val="0"/>
                <w:sz w:val="19"/>
              </w:rPr>
              <w:t>SOP operasional, laporan audit internal, data SDM</w:t>
            </w:r>
          </w:p>
        </w:tc>
      </w:tr>
      <w:tr>
        <w:tc>
          <w:tcPr>
            <w:tcW w:type="dxa" w:w="1984"/>
            <w:shd w:val="clear" w:color="auto" w:fill="F2F7FC"/>
          </w:tcPr>
          <w:p>
            <w:pPr>
              <w:spacing w:before="60" w:after="60"/>
              <w:ind w:left="57"/>
            </w:pPr>
            <w:r>
              <w:rPr>
                <w:rFonts w:ascii="Calibri" w:hAnsi="Calibri"/>
                <w:b/>
                <w:i w:val="0"/>
                <w:sz w:val="19"/>
              </w:rPr>
              <w:t>Internal (Internal)</w:t>
            </w:r>
          </w:p>
        </w:tc>
        <w:tc>
          <w:tcPr>
            <w:tcW w:type="dxa" w:w="2835"/>
            <w:shd w:val="clear" w:color="auto" w:fill="F2F7FC"/>
          </w:tcPr>
          <w:p>
            <w:pPr>
              <w:spacing w:before="60" w:after="60"/>
              <w:ind w:left="57"/>
            </w:pPr>
            <w:r>
              <w:rPr>
                <w:rFonts w:ascii="Calibri" w:hAnsi="Calibri"/>
                <w:b w:val="0"/>
                <w:i w:val="0"/>
                <w:sz w:val="19"/>
              </w:rPr>
              <w:t>Informasi untuk seluruh karyawan Perusahaan</w:t>
            </w:r>
          </w:p>
        </w:tc>
        <w:tc>
          <w:tcPr>
            <w:tcW w:type="dxa" w:w="3969"/>
            <w:shd w:val="clear" w:color="auto" w:fill="F2F7FC"/>
          </w:tcPr>
          <w:p>
            <w:pPr>
              <w:spacing w:before="60" w:after="60"/>
              <w:ind w:left="57"/>
            </w:pPr>
            <w:r>
              <w:rPr>
                <w:rFonts w:ascii="Calibri" w:hAnsi="Calibri"/>
                <w:b w:val="0"/>
                <w:i w:val="0"/>
                <w:sz w:val="19"/>
              </w:rPr>
              <w:t>Kebijakan umum, pengumuman internal, panduan kerja</w:t>
            </w:r>
          </w:p>
        </w:tc>
      </w:tr>
      <w:tr>
        <w:tc>
          <w:tcPr>
            <w:tcW w:type="dxa" w:w="1984"/>
            <w:shd w:val="clear" w:color="auto" w:fill="FFFFFF"/>
          </w:tcPr>
          <w:p>
            <w:pPr>
              <w:spacing w:before="60" w:after="60"/>
              <w:ind w:left="57"/>
            </w:pPr>
            <w:r>
              <w:rPr>
                <w:rFonts w:ascii="Calibri" w:hAnsi="Calibri"/>
                <w:b/>
                <w:i w:val="0"/>
                <w:sz w:val="19"/>
              </w:rPr>
              <w:t>Publik (Public)</w:t>
            </w:r>
          </w:p>
        </w:tc>
        <w:tc>
          <w:tcPr>
            <w:tcW w:type="dxa" w:w="2835"/>
            <w:shd w:val="clear" w:color="auto" w:fill="FFFFFF"/>
          </w:tcPr>
          <w:p>
            <w:pPr>
              <w:spacing w:before="60" w:after="60"/>
              <w:ind w:left="57"/>
            </w:pPr>
            <w:r>
              <w:rPr>
                <w:rFonts w:ascii="Calibri" w:hAnsi="Calibri"/>
                <w:b w:val="0"/>
                <w:i w:val="0"/>
                <w:sz w:val="19"/>
              </w:rPr>
              <w:t>Informasi dapat dibagikan kepada publik</w:t>
            </w:r>
          </w:p>
        </w:tc>
        <w:tc>
          <w:tcPr>
            <w:tcW w:type="dxa" w:w="3969"/>
            <w:shd w:val="clear" w:color="auto" w:fill="FFFFFF"/>
          </w:tcPr>
          <w:p>
            <w:pPr>
              <w:spacing w:before="60" w:after="60"/>
              <w:ind w:left="57"/>
            </w:pPr>
            <w:r>
              <w:rPr>
                <w:rFonts w:ascii="Calibri" w:hAnsi="Calibri"/>
                <w:b w:val="0"/>
                <w:i w:val="0"/>
                <w:sz w:val="19"/>
              </w:rPr>
              <w:t>Laporan tahunan publik, brosur produk, press release</w:t>
            </w:r>
          </w:p>
        </w:tc>
      </w:tr>
    </w:tbl>
    <w:p>
      <w:pPr>
        <w:spacing w:before="200" w:after="80"/>
      </w:pPr>
      <w:r>
        <w:rPr>
          <w:rFonts w:ascii="Calibri" w:hAnsi="Calibri"/>
          <w:b/>
          <w:i w:val="0"/>
          <w:color w:val="2E74B5"/>
          <w:sz w:val="22"/>
        </w:rPr>
        <w:t>5.3  Periode Retensi Dokumen</w:t>
      </w:r>
    </w:p>
    <w:p>
      <w:pPr>
        <w:spacing w:before="60" w:after="60"/>
        <w:ind w:firstLine="0"/>
        <w:jc w:val="both"/>
      </w:pPr>
      <w:r>
        <w:rPr>
          <w:rFonts w:ascii="Calibri" w:hAnsi="Calibri"/>
          <w:b w:val="0"/>
          <w:i w:val="0"/>
          <w:sz w:val="21"/>
        </w:rPr>
        <w:t>Periode retensi ditetapkan berdasarkan kategori dokumen dengan mempertimbangkan persyaratan hukum, regulasi, kebutuhan bisnis, dan risiko informasi. Tabel berikut merupakan jadwal retensi standar Perusahaan: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84"/>
            <w:shd w:val="clear" w:color="auto" w:fill="1F3564"/>
          </w:tcPr>
          <w:p>
            <w:pPr>
              <w:spacing w:before="60" w:after="60"/>
              <w:jc w:val="center"/>
            </w:pPr>
            <w:r>
              <w:rPr>
                <w:rFonts w:ascii="Calibri" w:hAnsi="Calibri"/>
                <w:b/>
                <w:i w:val="0"/>
                <w:color w:val="FFFFFF"/>
                <w:sz w:val="17"/>
              </w:rPr>
              <w:t>Kategori Dokumen</w:t>
            </w:r>
          </w:p>
        </w:tc>
        <w:tc>
          <w:tcPr>
            <w:tcW w:type="dxa" w:w="1984"/>
            <w:shd w:val="clear" w:color="auto" w:fill="1F3564"/>
          </w:tcPr>
          <w:p>
            <w:pPr>
              <w:spacing w:before="60" w:after="60"/>
              <w:jc w:val="center"/>
            </w:pPr>
            <w:r>
              <w:rPr>
                <w:rFonts w:ascii="Calibri" w:hAnsi="Calibri"/>
                <w:b/>
                <w:i w:val="0"/>
                <w:color w:val="FFFFFF"/>
                <w:sz w:val="17"/>
              </w:rPr>
              <w:t>Sub-Kategori</w:t>
            </w:r>
          </w:p>
        </w:tc>
        <w:tc>
          <w:tcPr>
            <w:tcW w:type="dxa" w:w="1247"/>
            <w:shd w:val="clear" w:color="auto" w:fill="1F3564"/>
          </w:tcPr>
          <w:p>
            <w:pPr>
              <w:spacing w:before="60" w:after="60"/>
              <w:jc w:val="center"/>
            </w:pPr>
            <w:r>
              <w:rPr>
                <w:rFonts w:ascii="Calibri" w:hAnsi="Calibri"/>
                <w:b/>
                <w:i w:val="0"/>
                <w:color w:val="FFFFFF"/>
                <w:sz w:val="17"/>
              </w:rPr>
              <w:t>Periode Retensi</w:t>
            </w:r>
          </w:p>
        </w:tc>
        <w:tc>
          <w:tcPr>
            <w:tcW w:type="dxa" w:w="2268"/>
            <w:shd w:val="clear" w:color="auto" w:fill="1F3564"/>
          </w:tcPr>
          <w:p>
            <w:pPr>
              <w:spacing w:before="60" w:after="60"/>
              <w:jc w:val="center"/>
            </w:pPr>
            <w:r>
              <w:rPr>
                <w:rFonts w:ascii="Calibri" w:hAnsi="Calibri"/>
                <w:b/>
                <w:i w:val="0"/>
                <w:color w:val="FFFFFF"/>
                <w:sz w:val="17"/>
              </w:rPr>
              <w:t>Dasar Hukum/Referensi</w:t>
            </w:r>
          </w:p>
        </w:tc>
        <w:tc>
          <w:tcPr>
            <w:tcW w:type="dxa" w:w="1304"/>
            <w:shd w:val="clear" w:color="auto" w:fill="1F3564"/>
          </w:tcPr>
          <w:p>
            <w:pPr>
              <w:spacing w:before="60" w:after="60"/>
              <w:jc w:val="center"/>
            </w:pPr>
            <w:r>
              <w:rPr>
                <w:rFonts w:ascii="Calibri" w:hAnsi="Calibri"/>
                <w:b/>
                <w:i w:val="0"/>
                <w:color w:val="FFFFFF"/>
                <w:sz w:val="17"/>
              </w:rPr>
              <w:t>Keterangan</w:t>
            </w:r>
          </w:p>
        </w:tc>
      </w:tr>
      <w:tr>
        <w:tc>
          <w:tcPr>
            <w:tcW w:type="dxa" w:w="1984"/>
            <w:shd w:val="clear" w:color="auto" w:fill="F2F7FC"/>
          </w:tcPr>
          <w:p>
            <w:pPr>
              <w:spacing w:before="40" w:after="40"/>
              <w:ind w:left="45"/>
            </w:pPr>
            <w:r>
              <w:rPr>
                <w:rFonts w:ascii="Calibri" w:hAnsi="Calibri"/>
                <w:b/>
                <w:i w:val="0"/>
                <w:sz w:val="17"/>
              </w:rPr>
              <w:t>Dokumen Korporat</w:t>
            </w:r>
          </w:p>
        </w:tc>
        <w:tc>
          <w:tcPr>
            <w:tcW w:type="dxa" w:w="1984"/>
            <w:shd w:val="clear" w:color="auto" w:fill="F2F7FC"/>
          </w:tcPr>
          <w:p>
            <w:pPr>
              <w:spacing w:before="40" w:after="40"/>
              <w:ind w:left="45"/>
            </w:pPr>
            <w:r>
              <w:rPr>
                <w:rFonts w:ascii="Calibri" w:hAnsi="Calibri"/>
                <w:b w:val="0"/>
                <w:i w:val="0"/>
                <w:sz w:val="17"/>
              </w:rPr>
              <w:t>Akta pendirian &amp; anggaran dasar</w:t>
            </w:r>
          </w:p>
        </w:tc>
        <w:tc>
          <w:tcPr>
            <w:tcW w:type="dxa" w:w="1247"/>
            <w:shd w:val="clear" w:color="auto" w:fill="F2F7FC"/>
          </w:tcPr>
          <w:p>
            <w:pPr>
              <w:spacing w:before="40" w:after="40"/>
              <w:ind w:left="45"/>
            </w:pPr>
            <w:r>
              <w:rPr>
                <w:rFonts w:ascii="Calibri" w:hAnsi="Calibri"/>
                <w:b/>
                <w:i w:val="0"/>
                <w:sz w:val="17"/>
              </w:rPr>
              <w:t>Permanen</w:t>
            </w:r>
          </w:p>
        </w:tc>
        <w:tc>
          <w:tcPr>
            <w:tcW w:type="dxa" w:w="2268"/>
            <w:shd w:val="clear" w:color="auto" w:fill="F2F7FC"/>
          </w:tcPr>
          <w:p>
            <w:pPr>
              <w:spacing w:before="40" w:after="40"/>
              <w:ind w:left="45"/>
            </w:pPr>
            <w:r>
              <w:rPr>
                <w:rFonts w:ascii="Calibri" w:hAnsi="Calibri"/>
                <w:b w:val="0"/>
                <w:i w:val="0"/>
                <w:sz w:val="17"/>
              </w:rPr>
              <w:t>UU PT, POJK</w:t>
            </w:r>
          </w:p>
        </w:tc>
        <w:tc>
          <w:tcPr>
            <w:tcW w:type="dxa" w:w="1304"/>
            <w:shd w:val="clear" w:color="auto" w:fill="F2F7FC"/>
          </w:tcPr>
          <w:p>
            <w:pPr>
              <w:spacing w:before="40" w:after="40"/>
              <w:ind w:left="45"/>
            </w:pPr>
            <w:r>
              <w:rPr>
                <w:rFonts w:ascii="Calibri" w:hAnsi="Calibri"/>
                <w:b w:val="0"/>
                <w:i w:val="0"/>
                <w:sz w:val="17"/>
              </w:rPr>
              <w:t>Arsip permanen</w:t>
            </w:r>
          </w:p>
        </w:tc>
      </w:tr>
      <w:tr>
        <w:tc>
          <w:tcPr>
            <w:tcW w:type="dxa" w:w="1984"/>
            <w:shd w:val="clear" w:color="auto" w:fill="FFFFFF"/>
          </w:tcPr>
          <w:p>
            <w:pPr>
              <w:spacing w:before="40" w:after="40"/>
              <w:ind w:left="45"/>
            </w:pPr>
            <w:r>
              <w:rPr>
                <w:rFonts w:ascii="Calibri" w:hAnsi="Calibri"/>
                <w:b/>
                <w:i w:val="0"/>
                <w:sz w:val="17"/>
              </w:rPr>
              <w:t>Dokumen Korporat</w:t>
            </w:r>
          </w:p>
        </w:tc>
        <w:tc>
          <w:tcPr>
            <w:tcW w:type="dxa" w:w="1984"/>
            <w:shd w:val="clear" w:color="auto" w:fill="FFFFFF"/>
          </w:tcPr>
          <w:p>
            <w:pPr>
              <w:spacing w:before="40" w:after="40"/>
              <w:ind w:left="45"/>
            </w:pPr>
            <w:r>
              <w:rPr>
                <w:rFonts w:ascii="Calibri" w:hAnsi="Calibri"/>
                <w:b w:val="0"/>
                <w:i w:val="0"/>
                <w:sz w:val="17"/>
              </w:rPr>
              <w:t>Notulen Rapat Direksi/Komisaris</w:t>
            </w:r>
          </w:p>
        </w:tc>
        <w:tc>
          <w:tcPr>
            <w:tcW w:type="dxa" w:w="1247"/>
            <w:shd w:val="clear" w:color="auto" w:fill="FFFFFF"/>
          </w:tcPr>
          <w:p>
            <w:pPr>
              <w:spacing w:before="40" w:after="40"/>
              <w:ind w:left="45"/>
            </w:pPr>
            <w:r>
              <w:rPr>
                <w:rFonts w:ascii="Calibri" w:hAnsi="Calibri"/>
                <w:b/>
                <w:i w:val="0"/>
                <w:sz w:val="17"/>
              </w:rPr>
              <w:t>30 tahun</w:t>
            </w:r>
          </w:p>
        </w:tc>
        <w:tc>
          <w:tcPr>
            <w:tcW w:type="dxa" w:w="2268"/>
            <w:shd w:val="clear" w:color="auto" w:fill="FFFFFF"/>
          </w:tcPr>
          <w:p>
            <w:pPr>
              <w:spacing w:before="40" w:after="40"/>
              <w:ind w:left="45"/>
            </w:pPr>
            <w:r>
              <w:rPr>
                <w:rFonts w:ascii="Calibri" w:hAnsi="Calibri"/>
                <w:b w:val="0"/>
                <w:i w:val="0"/>
                <w:sz w:val="17"/>
              </w:rPr>
              <w:t>UU PT No.40/2007</w:t>
            </w:r>
          </w:p>
        </w:tc>
        <w:tc>
          <w:tcPr>
            <w:tcW w:type="dxa" w:w="1304"/>
            <w:shd w:val="clear" w:color="auto" w:fill="FFFFFF"/>
          </w:tcPr>
          <w:p>
            <w:pPr>
              <w:spacing w:before="40" w:after="40"/>
              <w:ind w:left="45"/>
            </w:pPr>
            <w:r>
              <w:rPr>
                <w:rFonts w:ascii="Calibri" w:hAnsi="Calibri"/>
                <w:b w:val="0"/>
                <w:i w:val="0"/>
                <w:sz w:val="17"/>
              </w:rPr>
              <w:t>Setelah tidak aktif</w:t>
            </w:r>
          </w:p>
        </w:tc>
      </w:tr>
      <w:tr>
        <w:tc>
          <w:tcPr>
            <w:tcW w:type="dxa" w:w="1984"/>
            <w:shd w:val="clear" w:color="auto" w:fill="F2F7FC"/>
          </w:tcPr>
          <w:p>
            <w:pPr>
              <w:spacing w:before="40" w:after="40"/>
              <w:ind w:left="45"/>
            </w:pPr>
            <w:r>
              <w:rPr>
                <w:rFonts w:ascii="Calibri" w:hAnsi="Calibri"/>
                <w:b/>
                <w:i w:val="0"/>
                <w:sz w:val="17"/>
              </w:rPr>
              <w:t>Dokumen Korporat</w:t>
            </w:r>
          </w:p>
        </w:tc>
        <w:tc>
          <w:tcPr>
            <w:tcW w:type="dxa" w:w="1984"/>
            <w:shd w:val="clear" w:color="auto" w:fill="F2F7FC"/>
          </w:tcPr>
          <w:p>
            <w:pPr>
              <w:spacing w:before="40" w:after="40"/>
              <w:ind w:left="45"/>
            </w:pPr>
            <w:r>
              <w:rPr>
                <w:rFonts w:ascii="Calibri" w:hAnsi="Calibri"/>
                <w:b w:val="0"/>
                <w:i w:val="0"/>
                <w:sz w:val="17"/>
              </w:rPr>
              <w:t>Laporan tahunan &amp; keuangan</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POJK 71/2016</w:t>
            </w:r>
          </w:p>
        </w:tc>
        <w:tc>
          <w:tcPr>
            <w:tcW w:type="dxa" w:w="1304"/>
            <w:shd w:val="clear" w:color="auto" w:fill="F2F7FC"/>
          </w:tcPr>
          <w:p>
            <w:pPr>
              <w:spacing w:before="40" w:after="40"/>
              <w:ind w:left="45"/>
            </w:pPr>
            <w:r>
              <w:rPr>
                <w:rFonts w:ascii="Calibri" w:hAnsi="Calibri"/>
                <w:b w:val="0"/>
                <w:i w:val="0"/>
                <w:sz w:val="17"/>
              </w:rPr>
              <w:t>Termasuk audit eksternal</w:t>
            </w:r>
          </w:p>
        </w:tc>
      </w:tr>
      <w:tr>
        <w:tc>
          <w:tcPr>
            <w:tcW w:type="dxa" w:w="1984"/>
            <w:shd w:val="clear" w:color="auto" w:fill="FFFFFF"/>
          </w:tcPr>
          <w:p>
            <w:pPr>
              <w:spacing w:before="40" w:after="40"/>
              <w:ind w:left="45"/>
            </w:pPr>
            <w:r>
              <w:rPr>
                <w:rFonts w:ascii="Calibri" w:hAnsi="Calibri"/>
                <w:b/>
                <w:i w:val="0"/>
                <w:sz w:val="17"/>
              </w:rPr>
              <w:t>Polis &amp; Klaim Asuransi</w:t>
            </w:r>
          </w:p>
        </w:tc>
        <w:tc>
          <w:tcPr>
            <w:tcW w:type="dxa" w:w="1984"/>
            <w:shd w:val="clear" w:color="auto" w:fill="FFFFFF"/>
          </w:tcPr>
          <w:p>
            <w:pPr>
              <w:spacing w:before="40" w:after="40"/>
              <w:ind w:left="45"/>
            </w:pPr>
            <w:r>
              <w:rPr>
                <w:rFonts w:ascii="Calibri" w:hAnsi="Calibri"/>
                <w:b w:val="0"/>
                <w:i w:val="0"/>
                <w:sz w:val="17"/>
              </w:rPr>
              <w:t>Polis asuransi jiwa (aktif)</w:t>
            </w:r>
          </w:p>
        </w:tc>
        <w:tc>
          <w:tcPr>
            <w:tcW w:type="dxa" w:w="1247"/>
            <w:shd w:val="clear" w:color="auto" w:fill="FFFFFF"/>
          </w:tcPr>
          <w:p>
            <w:pPr>
              <w:spacing w:before="40" w:after="40"/>
              <w:ind w:left="45"/>
            </w:pPr>
            <w:r>
              <w:rPr>
                <w:rFonts w:ascii="Calibri" w:hAnsi="Calibri"/>
                <w:b/>
                <w:i w:val="0"/>
                <w:sz w:val="17"/>
              </w:rPr>
              <w:t>Selama polis aktif + 10 tahun</w:t>
            </w:r>
          </w:p>
        </w:tc>
        <w:tc>
          <w:tcPr>
            <w:tcW w:type="dxa" w:w="2268"/>
            <w:shd w:val="clear" w:color="auto" w:fill="FFFFFF"/>
          </w:tcPr>
          <w:p>
            <w:pPr>
              <w:spacing w:before="40" w:after="40"/>
              <w:ind w:left="45"/>
            </w:pPr>
            <w:r>
              <w:rPr>
                <w:rFonts w:ascii="Calibri" w:hAnsi="Calibri"/>
                <w:b w:val="0"/>
                <w:i w:val="0"/>
                <w:sz w:val="17"/>
              </w:rPr>
              <w:t>POJK 71/2016</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Polis &amp; Klaim Asuransi</w:t>
            </w:r>
          </w:p>
        </w:tc>
        <w:tc>
          <w:tcPr>
            <w:tcW w:type="dxa" w:w="1984"/>
            <w:shd w:val="clear" w:color="auto" w:fill="F2F7FC"/>
          </w:tcPr>
          <w:p>
            <w:pPr>
              <w:spacing w:before="40" w:after="40"/>
              <w:ind w:left="45"/>
            </w:pPr>
            <w:r>
              <w:rPr>
                <w:rFonts w:ascii="Calibri" w:hAnsi="Calibri"/>
                <w:b w:val="0"/>
                <w:i w:val="0"/>
                <w:sz w:val="17"/>
              </w:rPr>
              <w:t>Dokumen klaim</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POJK 71/2016</w:t>
            </w:r>
          </w:p>
        </w:tc>
        <w:tc>
          <w:tcPr>
            <w:tcW w:type="dxa" w:w="1304"/>
            <w:shd w:val="clear" w:color="auto" w:fill="F2F7FC"/>
          </w:tcPr>
          <w:p>
            <w:pPr>
              <w:spacing w:before="40" w:after="40"/>
              <w:ind w:left="45"/>
            </w:pPr>
            <w:r>
              <w:rPr>
                <w:rFonts w:ascii="Calibri" w:hAnsi="Calibri"/>
                <w:b w:val="0"/>
                <w:i w:val="0"/>
                <w:sz w:val="17"/>
              </w:rPr>
              <w:t>Setelah penyelesaian klaim</w:t>
            </w:r>
          </w:p>
        </w:tc>
      </w:tr>
      <w:tr>
        <w:tc>
          <w:tcPr>
            <w:tcW w:type="dxa" w:w="1984"/>
            <w:shd w:val="clear" w:color="auto" w:fill="FFFFFF"/>
          </w:tcPr>
          <w:p>
            <w:pPr>
              <w:spacing w:before="40" w:after="40"/>
              <w:ind w:left="45"/>
            </w:pPr>
            <w:r>
              <w:rPr>
                <w:rFonts w:ascii="Calibri" w:hAnsi="Calibri"/>
                <w:b/>
                <w:i w:val="0"/>
                <w:sz w:val="17"/>
              </w:rPr>
              <w:t>Polis &amp; Klaim Asuransi</w:t>
            </w:r>
          </w:p>
        </w:tc>
        <w:tc>
          <w:tcPr>
            <w:tcW w:type="dxa" w:w="1984"/>
            <w:shd w:val="clear" w:color="auto" w:fill="FFFFFF"/>
          </w:tcPr>
          <w:p>
            <w:pPr>
              <w:spacing w:before="40" w:after="40"/>
              <w:ind w:left="45"/>
            </w:pPr>
            <w:r>
              <w:rPr>
                <w:rFonts w:ascii="Calibri" w:hAnsi="Calibri"/>
                <w:b w:val="0"/>
                <w:i w:val="0"/>
                <w:sz w:val="17"/>
              </w:rPr>
              <w:t>SPPA (aplikasi polis)</w:t>
            </w:r>
          </w:p>
        </w:tc>
        <w:tc>
          <w:tcPr>
            <w:tcW w:type="dxa" w:w="1247"/>
            <w:shd w:val="clear" w:color="auto" w:fill="FFFFFF"/>
          </w:tcPr>
          <w:p>
            <w:pPr>
              <w:spacing w:before="40" w:after="40"/>
              <w:ind w:left="45"/>
            </w:pPr>
            <w:r>
              <w:rPr>
                <w:rFonts w:ascii="Calibri" w:hAnsi="Calibri"/>
                <w:b/>
                <w:i w:val="0"/>
                <w:sz w:val="17"/>
              </w:rPr>
              <w:t>10 tahun</w:t>
            </w:r>
          </w:p>
        </w:tc>
        <w:tc>
          <w:tcPr>
            <w:tcW w:type="dxa" w:w="2268"/>
            <w:shd w:val="clear" w:color="auto" w:fill="FFFFFF"/>
          </w:tcPr>
          <w:p>
            <w:pPr>
              <w:spacing w:before="40" w:after="40"/>
              <w:ind w:left="45"/>
            </w:pPr>
            <w:r>
              <w:rPr>
                <w:rFonts w:ascii="Calibri" w:hAnsi="Calibri"/>
                <w:b w:val="0"/>
                <w:i w:val="0"/>
                <w:sz w:val="17"/>
              </w:rPr>
              <w:t>POJK 71/2016</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Data Nasabah</w:t>
            </w:r>
          </w:p>
        </w:tc>
        <w:tc>
          <w:tcPr>
            <w:tcW w:type="dxa" w:w="1984"/>
            <w:shd w:val="clear" w:color="auto" w:fill="F2F7FC"/>
          </w:tcPr>
          <w:p>
            <w:pPr>
              <w:spacing w:before="40" w:after="40"/>
              <w:ind w:left="45"/>
            </w:pPr>
            <w:r>
              <w:rPr>
                <w:rFonts w:ascii="Calibri" w:hAnsi="Calibri"/>
                <w:b w:val="0"/>
                <w:i w:val="0"/>
                <w:sz w:val="17"/>
              </w:rPr>
              <w:t>KYC / CDD nasabah</w:t>
            </w:r>
          </w:p>
        </w:tc>
        <w:tc>
          <w:tcPr>
            <w:tcW w:type="dxa" w:w="1247"/>
            <w:shd w:val="clear" w:color="auto" w:fill="F2F7FC"/>
          </w:tcPr>
          <w:p>
            <w:pPr>
              <w:spacing w:before="40" w:after="40"/>
              <w:ind w:left="45"/>
            </w:pPr>
            <w:r>
              <w:rPr>
                <w:rFonts w:ascii="Calibri" w:hAnsi="Calibri"/>
                <w:b/>
                <w:i w:val="0"/>
                <w:sz w:val="17"/>
              </w:rPr>
              <w:t>5 tahun setelah hubungan berakhir</w:t>
            </w:r>
          </w:p>
        </w:tc>
        <w:tc>
          <w:tcPr>
            <w:tcW w:type="dxa" w:w="2268"/>
            <w:shd w:val="clear" w:color="auto" w:fill="F2F7FC"/>
          </w:tcPr>
          <w:p>
            <w:pPr>
              <w:spacing w:before="40" w:after="40"/>
              <w:ind w:left="45"/>
            </w:pPr>
            <w:r>
              <w:rPr>
                <w:rFonts w:ascii="Calibri" w:hAnsi="Calibri"/>
                <w:b w:val="0"/>
                <w:i w:val="0"/>
                <w:sz w:val="17"/>
              </w:rPr>
              <w:t>UU TPPU, POJK</w:t>
            </w:r>
          </w:p>
        </w:tc>
        <w:tc>
          <w:tcPr>
            <w:tcW w:type="dxa" w:w="1304"/>
            <w:shd w:val="clear" w:color="auto" w:fill="F2F7FC"/>
          </w:tcPr>
          <w:p>
            <w:pPr>
              <w:spacing w:before="40" w:after="40"/>
              <w:ind w:left="45"/>
            </w:pPr>
            <w:r>
              <w:rPr>
                <w:rFonts w:ascii="Calibri" w:hAnsi="Calibri"/>
                <w:b w:val="0"/>
                <w:i w:val="0"/>
                <w:sz w:val="17"/>
              </w:rPr>
              <w:t>Termasuk foto KTP/paspor</w:t>
            </w:r>
          </w:p>
        </w:tc>
      </w:tr>
      <w:tr>
        <w:tc>
          <w:tcPr>
            <w:tcW w:type="dxa" w:w="1984"/>
            <w:shd w:val="clear" w:color="auto" w:fill="FFFFFF"/>
          </w:tcPr>
          <w:p>
            <w:pPr>
              <w:spacing w:before="40" w:after="40"/>
              <w:ind w:left="45"/>
            </w:pPr>
            <w:r>
              <w:rPr>
                <w:rFonts w:ascii="Calibri" w:hAnsi="Calibri"/>
                <w:b/>
                <w:i w:val="0"/>
                <w:sz w:val="17"/>
              </w:rPr>
              <w:t>Data Nasabah</w:t>
            </w:r>
          </w:p>
        </w:tc>
        <w:tc>
          <w:tcPr>
            <w:tcW w:type="dxa" w:w="1984"/>
            <w:shd w:val="clear" w:color="auto" w:fill="FFFFFF"/>
          </w:tcPr>
          <w:p>
            <w:pPr>
              <w:spacing w:before="40" w:after="40"/>
              <w:ind w:left="45"/>
            </w:pPr>
            <w:r>
              <w:rPr>
                <w:rFonts w:ascii="Calibri" w:hAnsi="Calibri"/>
                <w:b w:val="0"/>
                <w:i w:val="0"/>
                <w:sz w:val="17"/>
              </w:rPr>
              <w:t>Data pribadi nasabah</w:t>
            </w:r>
          </w:p>
        </w:tc>
        <w:tc>
          <w:tcPr>
            <w:tcW w:type="dxa" w:w="1247"/>
            <w:shd w:val="clear" w:color="auto" w:fill="FFFFFF"/>
          </w:tcPr>
          <w:p>
            <w:pPr>
              <w:spacing w:before="40" w:after="40"/>
              <w:ind w:left="45"/>
            </w:pPr>
            <w:r>
              <w:rPr>
                <w:rFonts w:ascii="Calibri" w:hAnsi="Calibri"/>
                <w:b/>
                <w:i w:val="0"/>
                <w:sz w:val="17"/>
              </w:rPr>
              <w:t>5 tahun setelah hubungan berakhir</w:t>
            </w:r>
          </w:p>
        </w:tc>
        <w:tc>
          <w:tcPr>
            <w:tcW w:type="dxa" w:w="2268"/>
            <w:shd w:val="clear" w:color="auto" w:fill="FFFFFF"/>
          </w:tcPr>
          <w:p>
            <w:pPr>
              <w:spacing w:before="40" w:after="40"/>
              <w:ind w:left="45"/>
            </w:pPr>
            <w:r>
              <w:rPr>
                <w:rFonts w:ascii="Calibri" w:hAnsi="Calibri"/>
                <w:b w:val="0"/>
                <w:i w:val="0"/>
                <w:sz w:val="17"/>
              </w:rPr>
              <w:t>UU PDP No.27/2022</w:t>
            </w:r>
          </w:p>
        </w:tc>
        <w:tc>
          <w:tcPr>
            <w:tcW w:type="dxa" w:w="1304"/>
            <w:shd w:val="clear" w:color="auto" w:fill="FFFFFF"/>
          </w:tcPr>
          <w:p>
            <w:pPr>
              <w:spacing w:before="40" w:after="40"/>
              <w:ind w:left="45"/>
            </w:pPr>
            <w:r>
              <w:rPr>
                <w:rFonts w:ascii="Calibri" w:hAnsi="Calibri"/>
                <w:b w:val="0"/>
                <w:i w:val="0"/>
                <w:sz w:val="17"/>
              </w:rPr>
              <w:t>Sesuai UU PDP</w:t>
            </w:r>
          </w:p>
        </w:tc>
      </w:tr>
      <w:tr>
        <w:tc>
          <w:tcPr>
            <w:tcW w:type="dxa" w:w="1984"/>
            <w:shd w:val="clear" w:color="auto" w:fill="F2F7FC"/>
          </w:tcPr>
          <w:p>
            <w:pPr>
              <w:spacing w:before="40" w:after="40"/>
              <w:ind w:left="45"/>
            </w:pPr>
            <w:r>
              <w:rPr>
                <w:rFonts w:ascii="Calibri" w:hAnsi="Calibri"/>
                <w:b/>
                <w:i w:val="0"/>
                <w:sz w:val="17"/>
              </w:rPr>
              <w:t>Keuangan &amp; Akuntansi</w:t>
            </w:r>
          </w:p>
        </w:tc>
        <w:tc>
          <w:tcPr>
            <w:tcW w:type="dxa" w:w="1984"/>
            <w:shd w:val="clear" w:color="auto" w:fill="F2F7FC"/>
          </w:tcPr>
          <w:p>
            <w:pPr>
              <w:spacing w:before="40" w:after="40"/>
              <w:ind w:left="45"/>
            </w:pPr>
            <w:r>
              <w:rPr>
                <w:rFonts w:ascii="Calibri" w:hAnsi="Calibri"/>
                <w:b w:val="0"/>
                <w:i w:val="0"/>
                <w:sz w:val="17"/>
              </w:rPr>
              <w:t>Laporan keuangan periodik</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UU Pajak, POJK</w:t>
            </w:r>
          </w:p>
        </w:tc>
        <w:tc>
          <w:tcPr>
            <w:tcW w:type="dxa" w:w="1304"/>
            <w:shd w:val="clear" w:color="auto" w:fill="F2F7FC"/>
          </w:tcPr>
          <w:p>
            <w:pPr>
              <w:spacing w:before="40" w:after="40"/>
              <w:ind w:left="45"/>
            </w:pPr>
            <w:r>
              <w:rPr>
                <w:rFonts w:ascii="Calibri" w:hAnsi="Calibri"/>
                <w:b w:val="0"/>
                <w:i w:val="0"/>
                <w:sz w:val="17"/>
              </w:rPr>
            </w:r>
          </w:p>
        </w:tc>
      </w:tr>
      <w:tr>
        <w:tc>
          <w:tcPr>
            <w:tcW w:type="dxa" w:w="1984"/>
            <w:shd w:val="clear" w:color="auto" w:fill="FFFFFF"/>
          </w:tcPr>
          <w:p>
            <w:pPr>
              <w:spacing w:before="40" w:after="40"/>
              <w:ind w:left="45"/>
            </w:pPr>
            <w:r>
              <w:rPr>
                <w:rFonts w:ascii="Calibri" w:hAnsi="Calibri"/>
                <w:b/>
                <w:i w:val="0"/>
                <w:sz w:val="17"/>
              </w:rPr>
              <w:t>Keuangan &amp; Akuntansi</w:t>
            </w:r>
          </w:p>
        </w:tc>
        <w:tc>
          <w:tcPr>
            <w:tcW w:type="dxa" w:w="1984"/>
            <w:shd w:val="clear" w:color="auto" w:fill="FFFFFF"/>
          </w:tcPr>
          <w:p>
            <w:pPr>
              <w:spacing w:before="40" w:after="40"/>
              <w:ind w:left="45"/>
            </w:pPr>
            <w:r>
              <w:rPr>
                <w:rFonts w:ascii="Calibri" w:hAnsi="Calibri"/>
                <w:b w:val="0"/>
                <w:i w:val="0"/>
                <w:sz w:val="17"/>
              </w:rPr>
              <w:t>Bukti transaksi / voucher</w:t>
            </w:r>
          </w:p>
        </w:tc>
        <w:tc>
          <w:tcPr>
            <w:tcW w:type="dxa" w:w="1247"/>
            <w:shd w:val="clear" w:color="auto" w:fill="FFFFFF"/>
          </w:tcPr>
          <w:p>
            <w:pPr>
              <w:spacing w:before="40" w:after="40"/>
              <w:ind w:left="45"/>
            </w:pPr>
            <w:r>
              <w:rPr>
                <w:rFonts w:ascii="Calibri" w:hAnsi="Calibri"/>
                <w:b/>
                <w:i w:val="0"/>
                <w:sz w:val="17"/>
              </w:rPr>
              <w:t>10 tahun</w:t>
            </w:r>
          </w:p>
        </w:tc>
        <w:tc>
          <w:tcPr>
            <w:tcW w:type="dxa" w:w="2268"/>
            <w:shd w:val="clear" w:color="auto" w:fill="FFFFFF"/>
          </w:tcPr>
          <w:p>
            <w:pPr>
              <w:spacing w:before="40" w:after="40"/>
              <w:ind w:left="45"/>
            </w:pPr>
            <w:r>
              <w:rPr>
                <w:rFonts w:ascii="Calibri" w:hAnsi="Calibri"/>
                <w:b w:val="0"/>
                <w:i w:val="0"/>
                <w:sz w:val="17"/>
              </w:rPr>
              <w:t>UU Pajak No.6/1983</w:t>
            </w:r>
          </w:p>
        </w:tc>
        <w:tc>
          <w:tcPr>
            <w:tcW w:type="dxa" w:w="1304"/>
            <w:shd w:val="clear" w:color="auto" w:fill="FFFFFF"/>
          </w:tcPr>
          <w:p>
            <w:pPr>
              <w:spacing w:before="40" w:after="40"/>
              <w:ind w:left="45"/>
            </w:pPr>
            <w:r>
              <w:rPr>
                <w:rFonts w:ascii="Calibri" w:hAnsi="Calibri"/>
                <w:b w:val="0"/>
                <w:i w:val="0"/>
                <w:sz w:val="17"/>
              </w:rPr>
              <w:t>Termasuk bukti pembayaran premi</w:t>
            </w:r>
          </w:p>
        </w:tc>
      </w:tr>
      <w:tr>
        <w:tc>
          <w:tcPr>
            <w:tcW w:type="dxa" w:w="1984"/>
            <w:shd w:val="clear" w:color="auto" w:fill="F2F7FC"/>
          </w:tcPr>
          <w:p>
            <w:pPr>
              <w:spacing w:before="40" w:after="40"/>
              <w:ind w:left="45"/>
            </w:pPr>
            <w:r>
              <w:rPr>
                <w:rFonts w:ascii="Calibri" w:hAnsi="Calibri"/>
                <w:b/>
                <w:i w:val="0"/>
                <w:sz w:val="17"/>
              </w:rPr>
              <w:t>Keuangan &amp; Akuntansi</w:t>
            </w:r>
          </w:p>
        </w:tc>
        <w:tc>
          <w:tcPr>
            <w:tcW w:type="dxa" w:w="1984"/>
            <w:shd w:val="clear" w:color="auto" w:fill="F2F7FC"/>
          </w:tcPr>
          <w:p>
            <w:pPr>
              <w:spacing w:before="40" w:after="40"/>
              <w:ind w:left="45"/>
            </w:pPr>
            <w:r>
              <w:rPr>
                <w:rFonts w:ascii="Calibri" w:hAnsi="Calibri"/>
                <w:b w:val="0"/>
                <w:i w:val="0"/>
                <w:sz w:val="17"/>
              </w:rPr>
              <w:t>SPT Pajak</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UU KUP</w:t>
            </w:r>
          </w:p>
        </w:tc>
        <w:tc>
          <w:tcPr>
            <w:tcW w:type="dxa" w:w="1304"/>
            <w:shd w:val="clear" w:color="auto" w:fill="F2F7FC"/>
          </w:tcPr>
          <w:p>
            <w:pPr>
              <w:spacing w:before="40" w:after="40"/>
              <w:ind w:left="45"/>
            </w:pPr>
            <w:r>
              <w:rPr>
                <w:rFonts w:ascii="Calibri" w:hAnsi="Calibri"/>
                <w:b w:val="0"/>
                <w:i w:val="0"/>
                <w:sz w:val="17"/>
              </w:rPr>
              <w:t>Sejak batas waktu penyampaian</w:t>
            </w:r>
          </w:p>
        </w:tc>
      </w:tr>
      <w:tr>
        <w:tc>
          <w:tcPr>
            <w:tcW w:type="dxa" w:w="1984"/>
            <w:shd w:val="clear" w:color="auto" w:fill="FFFFFF"/>
          </w:tcPr>
          <w:p>
            <w:pPr>
              <w:spacing w:before="40" w:after="40"/>
              <w:ind w:left="45"/>
            </w:pPr>
            <w:r>
              <w:rPr>
                <w:rFonts w:ascii="Calibri" w:hAnsi="Calibri"/>
                <w:b/>
                <w:i w:val="0"/>
                <w:sz w:val="17"/>
              </w:rPr>
              <w:t>Sumber Daya Manusia</w:t>
            </w:r>
          </w:p>
        </w:tc>
        <w:tc>
          <w:tcPr>
            <w:tcW w:type="dxa" w:w="1984"/>
            <w:shd w:val="clear" w:color="auto" w:fill="FFFFFF"/>
          </w:tcPr>
          <w:p>
            <w:pPr>
              <w:spacing w:before="40" w:after="40"/>
              <w:ind w:left="45"/>
            </w:pPr>
            <w:r>
              <w:rPr>
                <w:rFonts w:ascii="Calibri" w:hAnsi="Calibri"/>
                <w:b w:val="0"/>
                <w:i w:val="0"/>
                <w:sz w:val="17"/>
              </w:rPr>
              <w:t>File kepegawaian (aktif)</w:t>
            </w:r>
          </w:p>
        </w:tc>
        <w:tc>
          <w:tcPr>
            <w:tcW w:type="dxa" w:w="1247"/>
            <w:shd w:val="clear" w:color="auto" w:fill="FFFFFF"/>
          </w:tcPr>
          <w:p>
            <w:pPr>
              <w:spacing w:before="40" w:after="40"/>
              <w:ind w:left="45"/>
            </w:pPr>
            <w:r>
              <w:rPr>
                <w:rFonts w:ascii="Calibri" w:hAnsi="Calibri"/>
                <w:b/>
                <w:i w:val="0"/>
                <w:sz w:val="17"/>
              </w:rPr>
              <w:t>Selama bekerja + 10 tahun</w:t>
            </w:r>
          </w:p>
        </w:tc>
        <w:tc>
          <w:tcPr>
            <w:tcW w:type="dxa" w:w="2268"/>
            <w:shd w:val="clear" w:color="auto" w:fill="FFFFFF"/>
          </w:tcPr>
          <w:p>
            <w:pPr>
              <w:spacing w:before="40" w:after="40"/>
              <w:ind w:left="45"/>
            </w:pPr>
            <w:r>
              <w:rPr>
                <w:rFonts w:ascii="Calibri" w:hAnsi="Calibri"/>
                <w:b w:val="0"/>
                <w:i w:val="0"/>
                <w:sz w:val="17"/>
              </w:rPr>
              <w:t>UU Ketenagakerjaan</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Sumber Daya Manusia</w:t>
            </w:r>
          </w:p>
        </w:tc>
        <w:tc>
          <w:tcPr>
            <w:tcW w:type="dxa" w:w="1984"/>
            <w:shd w:val="clear" w:color="auto" w:fill="F2F7FC"/>
          </w:tcPr>
          <w:p>
            <w:pPr>
              <w:spacing w:before="40" w:after="40"/>
              <w:ind w:left="45"/>
            </w:pPr>
            <w:r>
              <w:rPr>
                <w:rFonts w:ascii="Calibri" w:hAnsi="Calibri"/>
                <w:b w:val="0"/>
                <w:i w:val="0"/>
                <w:sz w:val="17"/>
              </w:rPr>
              <w:t>File kepegawaian (mantan karyawan)</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UU No.13/2003</w:t>
            </w:r>
          </w:p>
        </w:tc>
        <w:tc>
          <w:tcPr>
            <w:tcW w:type="dxa" w:w="1304"/>
            <w:shd w:val="clear" w:color="auto" w:fill="F2F7FC"/>
          </w:tcPr>
          <w:p>
            <w:pPr>
              <w:spacing w:before="40" w:after="40"/>
              <w:ind w:left="45"/>
            </w:pPr>
            <w:r>
              <w:rPr>
                <w:rFonts w:ascii="Calibri" w:hAnsi="Calibri"/>
                <w:b w:val="0"/>
                <w:i w:val="0"/>
                <w:sz w:val="17"/>
              </w:rPr>
            </w:r>
          </w:p>
        </w:tc>
      </w:tr>
      <w:tr>
        <w:tc>
          <w:tcPr>
            <w:tcW w:type="dxa" w:w="1984"/>
            <w:shd w:val="clear" w:color="auto" w:fill="FFFFFF"/>
          </w:tcPr>
          <w:p>
            <w:pPr>
              <w:spacing w:before="40" w:after="40"/>
              <w:ind w:left="45"/>
            </w:pPr>
            <w:r>
              <w:rPr>
                <w:rFonts w:ascii="Calibri" w:hAnsi="Calibri"/>
                <w:b/>
                <w:i w:val="0"/>
                <w:sz w:val="17"/>
              </w:rPr>
              <w:t>Sumber Daya Manusia</w:t>
            </w:r>
          </w:p>
        </w:tc>
        <w:tc>
          <w:tcPr>
            <w:tcW w:type="dxa" w:w="1984"/>
            <w:shd w:val="clear" w:color="auto" w:fill="FFFFFF"/>
          </w:tcPr>
          <w:p>
            <w:pPr>
              <w:spacing w:before="40" w:after="40"/>
              <w:ind w:left="45"/>
            </w:pPr>
            <w:r>
              <w:rPr>
                <w:rFonts w:ascii="Calibri" w:hAnsi="Calibri"/>
                <w:b w:val="0"/>
                <w:i w:val="0"/>
                <w:sz w:val="17"/>
              </w:rPr>
              <w:t>Penggajian &amp; tunjangan</w:t>
            </w:r>
          </w:p>
        </w:tc>
        <w:tc>
          <w:tcPr>
            <w:tcW w:type="dxa" w:w="1247"/>
            <w:shd w:val="clear" w:color="auto" w:fill="FFFFFF"/>
          </w:tcPr>
          <w:p>
            <w:pPr>
              <w:spacing w:before="40" w:after="40"/>
              <w:ind w:left="45"/>
            </w:pPr>
            <w:r>
              <w:rPr>
                <w:rFonts w:ascii="Calibri" w:hAnsi="Calibri"/>
                <w:b/>
                <w:i w:val="0"/>
                <w:sz w:val="17"/>
              </w:rPr>
              <w:t>10 tahun</w:t>
            </w:r>
          </w:p>
        </w:tc>
        <w:tc>
          <w:tcPr>
            <w:tcW w:type="dxa" w:w="2268"/>
            <w:shd w:val="clear" w:color="auto" w:fill="FFFFFF"/>
          </w:tcPr>
          <w:p>
            <w:pPr>
              <w:spacing w:before="40" w:after="40"/>
              <w:ind w:left="45"/>
            </w:pPr>
            <w:r>
              <w:rPr>
                <w:rFonts w:ascii="Calibri" w:hAnsi="Calibri"/>
                <w:b w:val="0"/>
                <w:i w:val="0"/>
                <w:sz w:val="17"/>
              </w:rPr>
              <w:t>UU Pajak, Ketenagakerjaan</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IT &amp; Keamanan Informasi</w:t>
            </w:r>
          </w:p>
        </w:tc>
        <w:tc>
          <w:tcPr>
            <w:tcW w:type="dxa" w:w="1984"/>
            <w:shd w:val="clear" w:color="auto" w:fill="F2F7FC"/>
          </w:tcPr>
          <w:p>
            <w:pPr>
              <w:spacing w:before="40" w:after="40"/>
              <w:ind w:left="45"/>
            </w:pPr>
            <w:r>
              <w:rPr>
                <w:rFonts w:ascii="Calibri" w:hAnsi="Calibri"/>
                <w:b w:val="0"/>
                <w:i w:val="0"/>
                <w:sz w:val="17"/>
              </w:rPr>
              <w:t>Log akses sistem &amp; audit trail</w:t>
            </w:r>
          </w:p>
        </w:tc>
        <w:tc>
          <w:tcPr>
            <w:tcW w:type="dxa" w:w="1247"/>
            <w:shd w:val="clear" w:color="auto" w:fill="F2F7FC"/>
          </w:tcPr>
          <w:p>
            <w:pPr>
              <w:spacing w:before="40" w:after="40"/>
              <w:ind w:left="45"/>
            </w:pPr>
            <w:r>
              <w:rPr>
                <w:rFonts w:ascii="Calibri" w:hAnsi="Calibri"/>
                <w:b/>
                <w:i w:val="0"/>
                <w:sz w:val="17"/>
              </w:rPr>
              <w:t>3 tahun</w:t>
            </w:r>
          </w:p>
        </w:tc>
        <w:tc>
          <w:tcPr>
            <w:tcW w:type="dxa" w:w="2268"/>
            <w:shd w:val="clear" w:color="auto" w:fill="F2F7FC"/>
          </w:tcPr>
          <w:p>
            <w:pPr>
              <w:spacing w:before="40" w:after="40"/>
              <w:ind w:left="45"/>
            </w:pPr>
            <w:r>
              <w:rPr>
                <w:rFonts w:ascii="Calibri" w:hAnsi="Calibri"/>
                <w:b w:val="0"/>
                <w:i w:val="0"/>
                <w:sz w:val="17"/>
              </w:rPr>
              <w:t>ISO 27001, SEOJK</w:t>
            </w:r>
          </w:p>
        </w:tc>
        <w:tc>
          <w:tcPr>
            <w:tcW w:type="dxa" w:w="1304"/>
            <w:shd w:val="clear" w:color="auto" w:fill="F2F7FC"/>
          </w:tcPr>
          <w:p>
            <w:pPr>
              <w:spacing w:before="40" w:after="40"/>
              <w:ind w:left="45"/>
            </w:pPr>
            <w:r>
              <w:rPr>
                <w:rFonts w:ascii="Calibri" w:hAnsi="Calibri"/>
                <w:b w:val="0"/>
                <w:i w:val="0"/>
                <w:sz w:val="17"/>
              </w:rPr>
              <w:t>Termasuk log keamanan</w:t>
            </w:r>
          </w:p>
        </w:tc>
      </w:tr>
      <w:tr>
        <w:tc>
          <w:tcPr>
            <w:tcW w:type="dxa" w:w="1984"/>
            <w:shd w:val="clear" w:color="auto" w:fill="FFFFFF"/>
          </w:tcPr>
          <w:p>
            <w:pPr>
              <w:spacing w:before="40" w:after="40"/>
              <w:ind w:left="45"/>
            </w:pPr>
            <w:r>
              <w:rPr>
                <w:rFonts w:ascii="Calibri" w:hAnsi="Calibri"/>
                <w:b/>
                <w:i w:val="0"/>
                <w:sz w:val="17"/>
              </w:rPr>
              <w:t>IT &amp; Keamanan Informasi</w:t>
            </w:r>
          </w:p>
        </w:tc>
        <w:tc>
          <w:tcPr>
            <w:tcW w:type="dxa" w:w="1984"/>
            <w:shd w:val="clear" w:color="auto" w:fill="FFFFFF"/>
          </w:tcPr>
          <w:p>
            <w:pPr>
              <w:spacing w:before="40" w:after="40"/>
              <w:ind w:left="45"/>
            </w:pPr>
            <w:r>
              <w:rPr>
                <w:rFonts w:ascii="Calibri" w:hAnsi="Calibri"/>
                <w:b w:val="0"/>
                <w:i w:val="0"/>
                <w:sz w:val="17"/>
              </w:rPr>
              <w:t>Log insiden keamanan informasi</w:t>
            </w:r>
          </w:p>
        </w:tc>
        <w:tc>
          <w:tcPr>
            <w:tcW w:type="dxa" w:w="1247"/>
            <w:shd w:val="clear" w:color="auto" w:fill="FFFFFF"/>
          </w:tcPr>
          <w:p>
            <w:pPr>
              <w:spacing w:before="40" w:after="40"/>
              <w:ind w:left="45"/>
            </w:pPr>
            <w:r>
              <w:rPr>
                <w:rFonts w:ascii="Calibri" w:hAnsi="Calibri"/>
                <w:b/>
                <w:i w:val="0"/>
                <w:sz w:val="17"/>
              </w:rPr>
              <w:t>5 tahun</w:t>
            </w:r>
          </w:p>
        </w:tc>
        <w:tc>
          <w:tcPr>
            <w:tcW w:type="dxa" w:w="2268"/>
            <w:shd w:val="clear" w:color="auto" w:fill="FFFFFF"/>
          </w:tcPr>
          <w:p>
            <w:pPr>
              <w:spacing w:before="40" w:after="40"/>
              <w:ind w:left="45"/>
            </w:pPr>
            <w:r>
              <w:rPr>
                <w:rFonts w:ascii="Calibri" w:hAnsi="Calibri"/>
                <w:b w:val="0"/>
                <w:i w:val="0"/>
                <w:sz w:val="17"/>
              </w:rPr>
              <w:t>ISO 27001 A.5.28</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IT &amp; Keamanan Informasi</w:t>
            </w:r>
          </w:p>
        </w:tc>
        <w:tc>
          <w:tcPr>
            <w:tcW w:type="dxa" w:w="1984"/>
            <w:shd w:val="clear" w:color="auto" w:fill="F2F7FC"/>
          </w:tcPr>
          <w:p>
            <w:pPr>
              <w:spacing w:before="40" w:after="40"/>
              <w:ind w:left="45"/>
            </w:pPr>
            <w:r>
              <w:rPr>
                <w:rFonts w:ascii="Calibri" w:hAnsi="Calibri"/>
                <w:b w:val="0"/>
                <w:i w:val="0"/>
                <w:sz w:val="17"/>
              </w:rPr>
              <w:t>Backup data</w:t>
            </w:r>
          </w:p>
        </w:tc>
        <w:tc>
          <w:tcPr>
            <w:tcW w:type="dxa" w:w="1247"/>
            <w:shd w:val="clear" w:color="auto" w:fill="F2F7FC"/>
          </w:tcPr>
          <w:p>
            <w:pPr>
              <w:spacing w:before="40" w:after="40"/>
              <w:ind w:left="45"/>
            </w:pPr>
            <w:r>
              <w:rPr>
                <w:rFonts w:ascii="Calibri" w:hAnsi="Calibri"/>
                <w:b/>
                <w:i w:val="0"/>
                <w:sz w:val="17"/>
              </w:rPr>
              <w:t>1 tahun (rolling)</w:t>
            </w:r>
          </w:p>
        </w:tc>
        <w:tc>
          <w:tcPr>
            <w:tcW w:type="dxa" w:w="2268"/>
            <w:shd w:val="clear" w:color="auto" w:fill="F2F7FC"/>
          </w:tcPr>
          <w:p>
            <w:pPr>
              <w:spacing w:before="40" w:after="40"/>
              <w:ind w:left="45"/>
            </w:pPr>
            <w:r>
              <w:rPr>
                <w:rFonts w:ascii="Calibri" w:hAnsi="Calibri"/>
                <w:b w:val="0"/>
                <w:i w:val="0"/>
                <w:sz w:val="17"/>
              </w:rPr>
              <w:t>Kebijakan IT Internal</w:t>
            </w:r>
          </w:p>
        </w:tc>
        <w:tc>
          <w:tcPr>
            <w:tcW w:type="dxa" w:w="1304"/>
            <w:shd w:val="clear" w:color="auto" w:fill="F2F7FC"/>
          </w:tcPr>
          <w:p>
            <w:pPr>
              <w:spacing w:before="40" w:after="40"/>
              <w:ind w:left="45"/>
            </w:pPr>
            <w:r>
              <w:rPr>
                <w:rFonts w:ascii="Calibri" w:hAnsi="Calibri"/>
                <w:b w:val="0"/>
                <w:i w:val="0"/>
                <w:sz w:val="17"/>
              </w:rPr>
              <w:t>Sesuai kebijakan BCP</w:t>
            </w:r>
          </w:p>
        </w:tc>
      </w:tr>
      <w:tr>
        <w:tc>
          <w:tcPr>
            <w:tcW w:type="dxa" w:w="1984"/>
            <w:shd w:val="clear" w:color="auto" w:fill="FFFFFF"/>
          </w:tcPr>
          <w:p>
            <w:pPr>
              <w:spacing w:before="40" w:after="40"/>
              <w:ind w:left="45"/>
            </w:pPr>
            <w:r>
              <w:rPr>
                <w:rFonts w:ascii="Calibri" w:hAnsi="Calibri"/>
                <w:b/>
                <w:i w:val="0"/>
                <w:sz w:val="17"/>
              </w:rPr>
              <w:t>IT &amp; Keamanan Informasi</w:t>
            </w:r>
          </w:p>
        </w:tc>
        <w:tc>
          <w:tcPr>
            <w:tcW w:type="dxa" w:w="1984"/>
            <w:shd w:val="clear" w:color="auto" w:fill="FFFFFF"/>
          </w:tcPr>
          <w:p>
            <w:pPr>
              <w:spacing w:before="40" w:after="40"/>
              <w:ind w:left="45"/>
            </w:pPr>
            <w:r>
              <w:rPr>
                <w:rFonts w:ascii="Calibri" w:hAnsi="Calibri"/>
                <w:b w:val="0"/>
                <w:i w:val="0"/>
                <w:sz w:val="17"/>
              </w:rPr>
              <w:t>Kontrak vendor IT</w:t>
            </w:r>
          </w:p>
        </w:tc>
        <w:tc>
          <w:tcPr>
            <w:tcW w:type="dxa" w:w="1247"/>
            <w:shd w:val="clear" w:color="auto" w:fill="FFFFFF"/>
          </w:tcPr>
          <w:p>
            <w:pPr>
              <w:spacing w:before="40" w:after="40"/>
              <w:ind w:left="45"/>
            </w:pPr>
            <w:r>
              <w:rPr>
                <w:rFonts w:ascii="Calibri" w:hAnsi="Calibri"/>
                <w:b/>
                <w:i w:val="0"/>
                <w:sz w:val="17"/>
              </w:rPr>
              <w:t>10 tahun</w:t>
            </w:r>
          </w:p>
        </w:tc>
        <w:tc>
          <w:tcPr>
            <w:tcW w:type="dxa" w:w="2268"/>
            <w:shd w:val="clear" w:color="auto" w:fill="FFFFFF"/>
          </w:tcPr>
          <w:p>
            <w:pPr>
              <w:spacing w:before="40" w:after="40"/>
              <w:ind w:left="45"/>
            </w:pPr>
            <w:r>
              <w:rPr>
                <w:rFonts w:ascii="Calibri" w:hAnsi="Calibri"/>
                <w:b w:val="0"/>
                <w:i w:val="0"/>
                <w:sz w:val="17"/>
              </w:rPr>
              <w:t>POJK, KUH Perdata</w:t>
            </w:r>
          </w:p>
        </w:tc>
        <w:tc>
          <w:tcPr>
            <w:tcW w:type="dxa" w:w="1304"/>
            <w:shd w:val="clear" w:color="auto" w:fill="FFFFFF"/>
          </w:tcPr>
          <w:p>
            <w:pPr>
              <w:spacing w:before="40" w:after="40"/>
              <w:ind w:left="45"/>
            </w:pPr>
            <w:r>
              <w:rPr>
                <w:rFonts w:ascii="Calibri" w:hAnsi="Calibri"/>
                <w:b w:val="0"/>
                <w:i w:val="0"/>
                <w:sz w:val="17"/>
              </w:rPr>
              <w:t>Setelah kontrak berakhir</w:t>
            </w:r>
          </w:p>
        </w:tc>
      </w:tr>
      <w:tr>
        <w:tc>
          <w:tcPr>
            <w:tcW w:type="dxa" w:w="1984"/>
            <w:shd w:val="clear" w:color="auto" w:fill="F2F7FC"/>
          </w:tcPr>
          <w:p>
            <w:pPr>
              <w:spacing w:before="40" w:after="40"/>
              <w:ind w:left="45"/>
            </w:pPr>
            <w:r>
              <w:rPr>
                <w:rFonts w:ascii="Calibri" w:hAnsi="Calibri"/>
                <w:b/>
                <w:i w:val="0"/>
                <w:sz w:val="17"/>
              </w:rPr>
              <w:t>Kepatuhan &amp; Hukum</w:t>
            </w:r>
          </w:p>
        </w:tc>
        <w:tc>
          <w:tcPr>
            <w:tcW w:type="dxa" w:w="1984"/>
            <w:shd w:val="clear" w:color="auto" w:fill="F2F7FC"/>
          </w:tcPr>
          <w:p>
            <w:pPr>
              <w:spacing w:before="40" w:after="40"/>
              <w:ind w:left="45"/>
            </w:pPr>
            <w:r>
              <w:rPr>
                <w:rFonts w:ascii="Calibri" w:hAnsi="Calibri"/>
                <w:b w:val="0"/>
                <w:i w:val="0"/>
                <w:sz w:val="17"/>
              </w:rPr>
              <w:t>Izin usaha &amp; sertifikasi</w:t>
            </w:r>
          </w:p>
        </w:tc>
        <w:tc>
          <w:tcPr>
            <w:tcW w:type="dxa" w:w="1247"/>
            <w:shd w:val="clear" w:color="auto" w:fill="F2F7FC"/>
          </w:tcPr>
          <w:p>
            <w:pPr>
              <w:spacing w:before="40" w:after="40"/>
              <w:ind w:left="45"/>
            </w:pPr>
            <w:r>
              <w:rPr>
                <w:rFonts w:ascii="Calibri" w:hAnsi="Calibri"/>
                <w:b/>
                <w:i w:val="0"/>
                <w:sz w:val="17"/>
              </w:rPr>
              <w:t>Permanen</w:t>
            </w:r>
          </w:p>
        </w:tc>
        <w:tc>
          <w:tcPr>
            <w:tcW w:type="dxa" w:w="2268"/>
            <w:shd w:val="clear" w:color="auto" w:fill="F2F7FC"/>
          </w:tcPr>
          <w:p>
            <w:pPr>
              <w:spacing w:before="40" w:after="40"/>
              <w:ind w:left="45"/>
            </w:pPr>
            <w:r>
              <w:rPr>
                <w:rFonts w:ascii="Calibri" w:hAnsi="Calibri"/>
                <w:b w:val="0"/>
                <w:i w:val="0"/>
                <w:sz w:val="17"/>
              </w:rPr>
              <w:t>POJK</w:t>
            </w:r>
          </w:p>
        </w:tc>
        <w:tc>
          <w:tcPr>
            <w:tcW w:type="dxa" w:w="1304"/>
            <w:shd w:val="clear" w:color="auto" w:fill="F2F7FC"/>
          </w:tcPr>
          <w:p>
            <w:pPr>
              <w:spacing w:before="40" w:after="40"/>
              <w:ind w:left="45"/>
            </w:pPr>
            <w:r>
              <w:rPr>
                <w:rFonts w:ascii="Calibri" w:hAnsi="Calibri"/>
                <w:b w:val="0"/>
                <w:i w:val="0"/>
                <w:sz w:val="17"/>
              </w:rPr>
            </w:r>
          </w:p>
        </w:tc>
      </w:tr>
      <w:tr>
        <w:tc>
          <w:tcPr>
            <w:tcW w:type="dxa" w:w="1984"/>
            <w:shd w:val="clear" w:color="auto" w:fill="FFFFFF"/>
          </w:tcPr>
          <w:p>
            <w:pPr>
              <w:spacing w:before="40" w:after="40"/>
              <w:ind w:left="45"/>
            </w:pPr>
            <w:r>
              <w:rPr>
                <w:rFonts w:ascii="Calibri" w:hAnsi="Calibri"/>
                <w:b/>
                <w:i w:val="0"/>
                <w:sz w:val="17"/>
              </w:rPr>
              <w:t>Kepatuhan &amp; Hukum</w:t>
            </w:r>
          </w:p>
        </w:tc>
        <w:tc>
          <w:tcPr>
            <w:tcW w:type="dxa" w:w="1984"/>
            <w:shd w:val="clear" w:color="auto" w:fill="FFFFFF"/>
          </w:tcPr>
          <w:p>
            <w:pPr>
              <w:spacing w:before="40" w:after="40"/>
              <w:ind w:left="45"/>
            </w:pPr>
            <w:r>
              <w:rPr>
                <w:rFonts w:ascii="Calibri" w:hAnsi="Calibri"/>
                <w:b w:val="0"/>
                <w:i w:val="0"/>
                <w:sz w:val="17"/>
              </w:rPr>
              <w:t>Laporan kepatuhan (compliance)</w:t>
            </w:r>
          </w:p>
        </w:tc>
        <w:tc>
          <w:tcPr>
            <w:tcW w:type="dxa" w:w="1247"/>
            <w:shd w:val="clear" w:color="auto" w:fill="FFFFFF"/>
          </w:tcPr>
          <w:p>
            <w:pPr>
              <w:spacing w:before="40" w:after="40"/>
              <w:ind w:left="45"/>
            </w:pPr>
            <w:r>
              <w:rPr>
                <w:rFonts w:ascii="Calibri" w:hAnsi="Calibri"/>
                <w:b/>
                <w:i w:val="0"/>
                <w:sz w:val="17"/>
              </w:rPr>
              <w:t>10 tahun</w:t>
            </w:r>
          </w:p>
        </w:tc>
        <w:tc>
          <w:tcPr>
            <w:tcW w:type="dxa" w:w="2268"/>
            <w:shd w:val="clear" w:color="auto" w:fill="FFFFFF"/>
          </w:tcPr>
          <w:p>
            <w:pPr>
              <w:spacing w:before="40" w:after="40"/>
              <w:ind w:left="45"/>
            </w:pPr>
            <w:r>
              <w:rPr>
                <w:rFonts w:ascii="Calibri" w:hAnsi="Calibri"/>
                <w:b w:val="0"/>
                <w:i w:val="0"/>
                <w:sz w:val="17"/>
              </w:rPr>
              <w:t>POJK 71/2016</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Kepatuhan &amp; Hukum</w:t>
            </w:r>
          </w:p>
        </w:tc>
        <w:tc>
          <w:tcPr>
            <w:tcW w:type="dxa" w:w="1984"/>
            <w:shd w:val="clear" w:color="auto" w:fill="F2F7FC"/>
          </w:tcPr>
          <w:p>
            <w:pPr>
              <w:spacing w:before="40" w:after="40"/>
              <w:ind w:left="45"/>
            </w:pPr>
            <w:r>
              <w:rPr>
                <w:rFonts w:ascii="Calibri" w:hAnsi="Calibri"/>
                <w:b w:val="0"/>
                <w:i w:val="0"/>
                <w:sz w:val="17"/>
              </w:rPr>
              <w:t>Perjanjian / kontrak</w:t>
            </w:r>
          </w:p>
        </w:tc>
        <w:tc>
          <w:tcPr>
            <w:tcW w:type="dxa" w:w="1247"/>
            <w:shd w:val="clear" w:color="auto" w:fill="F2F7FC"/>
          </w:tcPr>
          <w:p>
            <w:pPr>
              <w:spacing w:before="40" w:after="40"/>
              <w:ind w:left="45"/>
            </w:pPr>
            <w:r>
              <w:rPr>
                <w:rFonts w:ascii="Calibri" w:hAnsi="Calibri"/>
                <w:b/>
                <w:i w:val="0"/>
                <w:sz w:val="17"/>
              </w:rPr>
              <w:t>10 tahun</w:t>
            </w:r>
          </w:p>
        </w:tc>
        <w:tc>
          <w:tcPr>
            <w:tcW w:type="dxa" w:w="2268"/>
            <w:shd w:val="clear" w:color="auto" w:fill="F2F7FC"/>
          </w:tcPr>
          <w:p>
            <w:pPr>
              <w:spacing w:before="40" w:after="40"/>
              <w:ind w:left="45"/>
            </w:pPr>
            <w:r>
              <w:rPr>
                <w:rFonts w:ascii="Calibri" w:hAnsi="Calibri"/>
                <w:b w:val="0"/>
                <w:i w:val="0"/>
                <w:sz w:val="17"/>
              </w:rPr>
              <w:t>KUH Perdata, POJK</w:t>
            </w:r>
          </w:p>
        </w:tc>
        <w:tc>
          <w:tcPr>
            <w:tcW w:type="dxa" w:w="1304"/>
            <w:shd w:val="clear" w:color="auto" w:fill="F2F7FC"/>
          </w:tcPr>
          <w:p>
            <w:pPr>
              <w:spacing w:before="40" w:after="40"/>
              <w:ind w:left="45"/>
            </w:pPr>
            <w:r>
              <w:rPr>
                <w:rFonts w:ascii="Calibri" w:hAnsi="Calibri"/>
                <w:b w:val="0"/>
                <w:i w:val="0"/>
                <w:sz w:val="17"/>
              </w:rPr>
              <w:t>Setelah kontrak berakhir</w:t>
            </w:r>
          </w:p>
        </w:tc>
      </w:tr>
      <w:tr>
        <w:tc>
          <w:tcPr>
            <w:tcW w:type="dxa" w:w="1984"/>
            <w:shd w:val="clear" w:color="auto" w:fill="FFFFFF"/>
          </w:tcPr>
          <w:p>
            <w:pPr>
              <w:spacing w:before="40" w:after="40"/>
              <w:ind w:left="45"/>
            </w:pPr>
            <w:r>
              <w:rPr>
                <w:rFonts w:ascii="Calibri" w:hAnsi="Calibri"/>
                <w:b/>
                <w:i w:val="0"/>
                <w:sz w:val="17"/>
              </w:rPr>
              <w:t>Pemasaran &amp; Produk</w:t>
            </w:r>
          </w:p>
        </w:tc>
        <w:tc>
          <w:tcPr>
            <w:tcW w:type="dxa" w:w="1984"/>
            <w:shd w:val="clear" w:color="auto" w:fill="FFFFFF"/>
          </w:tcPr>
          <w:p>
            <w:pPr>
              <w:spacing w:before="40" w:after="40"/>
              <w:ind w:left="45"/>
            </w:pPr>
            <w:r>
              <w:rPr>
                <w:rFonts w:ascii="Calibri" w:hAnsi="Calibri"/>
                <w:b w:val="0"/>
                <w:i w:val="0"/>
                <w:sz w:val="17"/>
              </w:rPr>
              <w:t>Materi promosi &amp; iklan</w:t>
            </w:r>
          </w:p>
        </w:tc>
        <w:tc>
          <w:tcPr>
            <w:tcW w:type="dxa" w:w="1247"/>
            <w:shd w:val="clear" w:color="auto" w:fill="FFFFFF"/>
          </w:tcPr>
          <w:p>
            <w:pPr>
              <w:spacing w:before="40" w:after="40"/>
              <w:ind w:left="45"/>
            </w:pPr>
            <w:r>
              <w:rPr>
                <w:rFonts w:ascii="Calibri" w:hAnsi="Calibri"/>
                <w:b/>
                <w:i w:val="0"/>
                <w:sz w:val="17"/>
              </w:rPr>
              <w:t>5 tahun</w:t>
            </w:r>
          </w:p>
        </w:tc>
        <w:tc>
          <w:tcPr>
            <w:tcW w:type="dxa" w:w="2268"/>
            <w:shd w:val="clear" w:color="auto" w:fill="FFFFFF"/>
          </w:tcPr>
          <w:p>
            <w:pPr>
              <w:spacing w:before="40" w:after="40"/>
              <w:ind w:left="45"/>
            </w:pPr>
            <w:r>
              <w:rPr>
                <w:rFonts w:ascii="Calibri" w:hAnsi="Calibri"/>
                <w:b w:val="0"/>
                <w:i w:val="0"/>
                <w:sz w:val="17"/>
              </w:rPr>
              <w:t>POJK, OJK</w:t>
            </w:r>
          </w:p>
        </w:tc>
        <w:tc>
          <w:tcPr>
            <w:tcW w:type="dxa" w:w="1304"/>
            <w:shd w:val="clear" w:color="auto" w:fill="FFFFFF"/>
          </w:tcPr>
          <w:p>
            <w:pPr>
              <w:spacing w:before="40" w:after="40"/>
              <w:ind w:left="45"/>
            </w:pPr>
            <w:r>
              <w:rPr>
                <w:rFonts w:ascii="Calibri" w:hAnsi="Calibri"/>
                <w:b w:val="0"/>
                <w:i w:val="0"/>
                <w:sz w:val="17"/>
              </w:rPr>
            </w:r>
          </w:p>
        </w:tc>
      </w:tr>
      <w:tr>
        <w:tc>
          <w:tcPr>
            <w:tcW w:type="dxa" w:w="1984"/>
            <w:shd w:val="clear" w:color="auto" w:fill="F2F7FC"/>
          </w:tcPr>
          <w:p>
            <w:pPr>
              <w:spacing w:before="40" w:after="40"/>
              <w:ind w:left="45"/>
            </w:pPr>
            <w:r>
              <w:rPr>
                <w:rFonts w:ascii="Calibri" w:hAnsi="Calibri"/>
                <w:b/>
                <w:i w:val="0"/>
                <w:sz w:val="17"/>
              </w:rPr>
              <w:t>Pemasaran &amp; Produk</w:t>
            </w:r>
          </w:p>
        </w:tc>
        <w:tc>
          <w:tcPr>
            <w:tcW w:type="dxa" w:w="1984"/>
            <w:shd w:val="clear" w:color="auto" w:fill="F2F7FC"/>
          </w:tcPr>
          <w:p>
            <w:pPr>
              <w:spacing w:before="40" w:after="40"/>
              <w:ind w:left="45"/>
            </w:pPr>
            <w:r>
              <w:rPr>
                <w:rFonts w:ascii="Calibri" w:hAnsi="Calibri"/>
                <w:b w:val="0"/>
                <w:i w:val="0"/>
                <w:sz w:val="17"/>
              </w:rPr>
              <w:t>Informasi produk asuransi (RIPLAY)</w:t>
            </w:r>
          </w:p>
        </w:tc>
        <w:tc>
          <w:tcPr>
            <w:tcW w:type="dxa" w:w="1247"/>
            <w:shd w:val="clear" w:color="auto" w:fill="F2F7FC"/>
          </w:tcPr>
          <w:p>
            <w:pPr>
              <w:spacing w:before="40" w:after="40"/>
              <w:ind w:left="45"/>
            </w:pPr>
            <w:r>
              <w:rPr>
                <w:rFonts w:ascii="Calibri" w:hAnsi="Calibri"/>
                <w:b/>
                <w:i w:val="0"/>
                <w:sz w:val="17"/>
              </w:rPr>
              <w:t>5 tahun setelah produk aktif</w:t>
            </w:r>
          </w:p>
        </w:tc>
        <w:tc>
          <w:tcPr>
            <w:tcW w:type="dxa" w:w="2268"/>
            <w:shd w:val="clear" w:color="auto" w:fill="F2F7FC"/>
          </w:tcPr>
          <w:p>
            <w:pPr>
              <w:spacing w:before="40" w:after="40"/>
              <w:ind w:left="45"/>
            </w:pPr>
            <w:r>
              <w:rPr>
                <w:rFonts w:ascii="Calibri" w:hAnsi="Calibri"/>
                <w:b w:val="0"/>
                <w:i w:val="0"/>
                <w:sz w:val="17"/>
              </w:rPr>
              <w:t>SEOJK</w:t>
            </w:r>
          </w:p>
        </w:tc>
        <w:tc>
          <w:tcPr>
            <w:tcW w:type="dxa" w:w="1304"/>
            <w:shd w:val="clear" w:color="auto" w:fill="F2F7FC"/>
          </w:tcPr>
          <w:p>
            <w:pPr>
              <w:spacing w:before="40" w:after="40"/>
              <w:ind w:left="45"/>
            </w:pPr>
            <w:r>
              <w:rPr>
                <w:rFonts w:ascii="Calibri" w:hAnsi="Calibri"/>
                <w:b w:val="0"/>
                <w:i w:val="0"/>
                <w:sz w:val="17"/>
              </w:rPr>
            </w:r>
          </w:p>
        </w:tc>
      </w:tr>
      <w:tr>
        <w:tc>
          <w:tcPr>
            <w:tcW w:type="dxa" w:w="1984"/>
            <w:shd w:val="clear" w:color="auto" w:fill="FFFFFF"/>
          </w:tcPr>
          <w:p>
            <w:pPr>
              <w:spacing w:before="40" w:after="40"/>
              <w:ind w:left="45"/>
            </w:pPr>
            <w:r>
              <w:rPr>
                <w:rFonts w:ascii="Calibri" w:hAnsi="Calibri"/>
                <w:b/>
                <w:i w:val="0"/>
                <w:sz w:val="17"/>
              </w:rPr>
              <w:t>Operasional Umum</w:t>
            </w:r>
          </w:p>
        </w:tc>
        <w:tc>
          <w:tcPr>
            <w:tcW w:type="dxa" w:w="1984"/>
            <w:shd w:val="clear" w:color="auto" w:fill="FFFFFF"/>
          </w:tcPr>
          <w:p>
            <w:pPr>
              <w:spacing w:before="40" w:after="40"/>
              <w:ind w:left="45"/>
            </w:pPr>
            <w:r>
              <w:rPr>
                <w:rFonts w:ascii="Calibri" w:hAnsi="Calibri"/>
                <w:b w:val="0"/>
                <w:i w:val="0"/>
                <w:sz w:val="17"/>
              </w:rPr>
              <w:t>SOP &amp; kebijakan internal</w:t>
            </w:r>
          </w:p>
        </w:tc>
        <w:tc>
          <w:tcPr>
            <w:tcW w:type="dxa" w:w="1247"/>
            <w:shd w:val="clear" w:color="auto" w:fill="FFFFFF"/>
          </w:tcPr>
          <w:p>
            <w:pPr>
              <w:spacing w:before="40" w:after="40"/>
              <w:ind w:left="45"/>
            </w:pPr>
            <w:r>
              <w:rPr>
                <w:rFonts w:ascii="Calibri" w:hAnsi="Calibri"/>
                <w:b/>
                <w:i w:val="0"/>
                <w:sz w:val="17"/>
              </w:rPr>
              <w:t>5 tahun setelah revisi</w:t>
            </w:r>
          </w:p>
        </w:tc>
        <w:tc>
          <w:tcPr>
            <w:tcW w:type="dxa" w:w="2268"/>
            <w:shd w:val="clear" w:color="auto" w:fill="FFFFFF"/>
          </w:tcPr>
          <w:p>
            <w:pPr>
              <w:spacing w:before="40" w:after="40"/>
              <w:ind w:left="45"/>
            </w:pPr>
            <w:r>
              <w:rPr>
                <w:rFonts w:ascii="Calibri" w:hAnsi="Calibri"/>
                <w:b w:val="0"/>
                <w:i w:val="0"/>
                <w:sz w:val="17"/>
              </w:rPr>
              <w:t>ISO 27001 Klausul 7.5</w:t>
            </w:r>
          </w:p>
        </w:tc>
        <w:tc>
          <w:tcPr>
            <w:tcW w:type="dxa" w:w="1304"/>
            <w:shd w:val="clear" w:color="auto" w:fill="FFFFFF"/>
          </w:tcPr>
          <w:p>
            <w:pPr>
              <w:spacing w:before="40" w:after="40"/>
              <w:ind w:left="45"/>
            </w:pPr>
            <w:r>
              <w:rPr>
                <w:rFonts w:ascii="Calibri" w:hAnsi="Calibri"/>
                <w:b w:val="0"/>
                <w:i w:val="0"/>
                <w:sz w:val="17"/>
              </w:rPr>
              <w:t>Versi lama tetap disimpan</w:t>
            </w:r>
          </w:p>
        </w:tc>
      </w:tr>
      <w:tr>
        <w:tc>
          <w:tcPr>
            <w:tcW w:type="dxa" w:w="1984"/>
            <w:shd w:val="clear" w:color="auto" w:fill="F2F7FC"/>
          </w:tcPr>
          <w:p>
            <w:pPr>
              <w:spacing w:before="40" w:after="40"/>
              <w:ind w:left="45"/>
            </w:pPr>
            <w:r>
              <w:rPr>
                <w:rFonts w:ascii="Calibri" w:hAnsi="Calibri"/>
                <w:b/>
                <w:i w:val="0"/>
                <w:sz w:val="17"/>
              </w:rPr>
              <w:t>Operasional Umum</w:t>
            </w:r>
          </w:p>
        </w:tc>
        <w:tc>
          <w:tcPr>
            <w:tcW w:type="dxa" w:w="1984"/>
            <w:shd w:val="clear" w:color="auto" w:fill="F2F7FC"/>
          </w:tcPr>
          <w:p>
            <w:pPr>
              <w:spacing w:before="40" w:after="40"/>
              <w:ind w:left="45"/>
            </w:pPr>
            <w:r>
              <w:rPr>
                <w:rFonts w:ascii="Calibri" w:hAnsi="Calibri"/>
                <w:b w:val="0"/>
                <w:i w:val="0"/>
                <w:sz w:val="17"/>
              </w:rPr>
              <w:t>Korespondensi umum</w:t>
            </w:r>
          </w:p>
        </w:tc>
        <w:tc>
          <w:tcPr>
            <w:tcW w:type="dxa" w:w="1247"/>
            <w:shd w:val="clear" w:color="auto" w:fill="F2F7FC"/>
          </w:tcPr>
          <w:p>
            <w:pPr>
              <w:spacing w:before="40" w:after="40"/>
              <w:ind w:left="45"/>
            </w:pPr>
            <w:r>
              <w:rPr>
                <w:rFonts w:ascii="Calibri" w:hAnsi="Calibri"/>
                <w:b/>
                <w:i w:val="0"/>
                <w:sz w:val="17"/>
              </w:rPr>
              <w:t>3 tahun</w:t>
            </w:r>
          </w:p>
        </w:tc>
        <w:tc>
          <w:tcPr>
            <w:tcW w:type="dxa" w:w="2268"/>
            <w:shd w:val="clear" w:color="auto" w:fill="F2F7FC"/>
          </w:tcPr>
          <w:p>
            <w:pPr>
              <w:spacing w:before="40" w:after="40"/>
              <w:ind w:left="45"/>
            </w:pPr>
            <w:r>
              <w:rPr>
                <w:rFonts w:ascii="Calibri" w:hAnsi="Calibri"/>
                <w:b w:val="0"/>
                <w:i w:val="0"/>
                <w:sz w:val="17"/>
              </w:rPr>
              <w:t>Pertimbangan bisnis</w:t>
            </w:r>
          </w:p>
        </w:tc>
        <w:tc>
          <w:tcPr>
            <w:tcW w:type="dxa" w:w="1304"/>
            <w:shd w:val="clear" w:color="auto" w:fill="F2F7FC"/>
          </w:tcPr>
          <w:p>
            <w:pPr>
              <w:spacing w:before="40" w:after="40"/>
              <w:ind w:left="45"/>
            </w:pPr>
            <w:r>
              <w:rPr>
                <w:rFonts w:ascii="Calibri" w:hAnsi="Calibri"/>
                <w:b w:val="0"/>
                <w:i w:val="0"/>
                <w:sz w:val="17"/>
              </w:rPr>
            </w:r>
          </w:p>
        </w:tc>
      </w:tr>
      <w:tr>
        <w:tc>
          <w:tcPr>
            <w:tcW w:type="dxa" w:w="1984"/>
            <w:shd w:val="clear" w:color="auto" w:fill="FFFFFF"/>
          </w:tcPr>
          <w:p>
            <w:pPr>
              <w:spacing w:before="40" w:after="40"/>
              <w:ind w:left="45"/>
            </w:pPr>
            <w:r>
              <w:rPr>
                <w:rFonts w:ascii="Calibri" w:hAnsi="Calibri"/>
                <w:b/>
                <w:i w:val="0"/>
                <w:sz w:val="17"/>
              </w:rPr>
              <w:t>Operasional Umum</w:t>
            </w:r>
          </w:p>
        </w:tc>
        <w:tc>
          <w:tcPr>
            <w:tcW w:type="dxa" w:w="1984"/>
            <w:shd w:val="clear" w:color="auto" w:fill="FFFFFF"/>
          </w:tcPr>
          <w:p>
            <w:pPr>
              <w:spacing w:before="40" w:after="40"/>
              <w:ind w:left="45"/>
            </w:pPr>
            <w:r>
              <w:rPr>
                <w:rFonts w:ascii="Calibri" w:hAnsi="Calibri"/>
                <w:b w:val="0"/>
                <w:i w:val="0"/>
                <w:sz w:val="17"/>
              </w:rPr>
              <w:t>Formulir &amp; rekaman ISMS</w:t>
            </w:r>
          </w:p>
        </w:tc>
        <w:tc>
          <w:tcPr>
            <w:tcW w:type="dxa" w:w="1247"/>
            <w:shd w:val="clear" w:color="auto" w:fill="FFFFFF"/>
          </w:tcPr>
          <w:p>
            <w:pPr>
              <w:spacing w:before="40" w:after="40"/>
              <w:ind w:left="45"/>
            </w:pPr>
            <w:r>
              <w:rPr>
                <w:rFonts w:ascii="Calibri" w:hAnsi="Calibri"/>
                <w:b/>
                <w:i w:val="0"/>
                <w:sz w:val="17"/>
              </w:rPr>
              <w:t>3 tahun</w:t>
            </w:r>
          </w:p>
        </w:tc>
        <w:tc>
          <w:tcPr>
            <w:tcW w:type="dxa" w:w="2268"/>
            <w:shd w:val="clear" w:color="auto" w:fill="FFFFFF"/>
          </w:tcPr>
          <w:p>
            <w:pPr>
              <w:spacing w:before="40" w:after="40"/>
              <w:ind w:left="45"/>
            </w:pPr>
            <w:r>
              <w:rPr>
                <w:rFonts w:ascii="Calibri" w:hAnsi="Calibri"/>
                <w:b w:val="0"/>
                <w:i w:val="0"/>
                <w:sz w:val="17"/>
              </w:rPr>
              <w:t>ISO 27001 Klausul 7.5</w:t>
            </w:r>
          </w:p>
        </w:tc>
        <w:tc>
          <w:tcPr>
            <w:tcW w:type="dxa" w:w="1304"/>
            <w:shd w:val="clear" w:color="auto" w:fill="FFFFFF"/>
          </w:tcPr>
          <w:p>
            <w:pPr>
              <w:spacing w:before="40" w:after="40"/>
              <w:ind w:left="45"/>
            </w:pPr>
            <w:r>
              <w:rPr>
                <w:rFonts w:ascii="Calibri" w:hAnsi="Calibri"/>
                <w:b w:val="0"/>
                <w:i w:val="0"/>
                <w:sz w:val="17"/>
              </w:rPr>
            </w:r>
          </w:p>
        </w:tc>
      </w:tr>
    </w:tbl>
    <w:p>
      <w:pPr>
        <w:spacing w:before="60" w:after="60"/>
        <w:ind w:firstLine="0"/>
        <w:jc w:val="both"/>
      </w:pPr>
      <w:r>
        <w:rPr>
          <w:rFonts w:ascii="Calibri" w:hAnsi="Calibri"/>
          <w:b w:val="0"/>
          <w:i w:val="0"/>
          <w:sz w:val="21"/>
        </w:rPr>
        <w:t>Catatan: Periode retensi dihitung sejak dokumen tidak lagi bersifat aktif/berlaku, kecuali dinyatakan lain.</w:t>
      </w:r>
    </w:p>
    <w:p>
      <w:r>
        <w:br w:type="page"/>
      </w:r>
    </w:p>
    <w:p>
      <w:pPr>
        <w:spacing w:before="200" w:after="80"/>
      </w:pPr>
      <w:r>
        <w:rPr>
          <w:rFonts w:ascii="Calibri" w:hAnsi="Calibri"/>
          <w:b/>
          <w:i w:val="0"/>
          <w:color w:val="2E74B5"/>
          <w:sz w:val="22"/>
        </w:rPr>
        <w:t>5.4  Penyimpanan dan Pemeliharaan Dokumen</w:t>
      </w:r>
    </w:p>
    <w:p>
      <w:pPr>
        <w:spacing w:before="60" w:after="60"/>
        <w:ind w:firstLine="0"/>
        <w:jc w:val="both"/>
      </w:pPr>
      <w:r>
        <w:rPr>
          <w:rFonts w:ascii="Calibri" w:hAnsi="Calibri"/>
          <w:b w:val="0"/>
          <w:i w:val="0"/>
          <w:sz w:val="21"/>
        </w:rPr>
        <w:t>Perusahaan menetapkan ketentuan penyimpanan sebagai berikut:</w:t>
      </w:r>
    </w:p>
    <w:p>
      <w:pPr>
        <w:pStyle w:val="ListBullet"/>
        <w:spacing w:before="40" w:after="40"/>
        <w:ind w:left="397"/>
      </w:pPr>
      <w:r>
        <w:rPr>
          <w:rFonts w:ascii="Calibri" w:hAnsi="Calibri"/>
          <w:b w:val="0"/>
          <w:i w:val="0"/>
          <w:sz w:val="21"/>
        </w:rPr>
        <w:t>Dokumen fisik disimpan di ruang arsip yang terkontrol, terlindungi dari risiko kebakaran, banjir, dan akses tidak sah.</w:t>
      </w:r>
    </w:p>
    <w:p>
      <w:pPr>
        <w:pStyle w:val="ListBullet"/>
        <w:spacing w:before="40" w:after="40"/>
        <w:ind w:left="397"/>
      </w:pPr>
      <w:r>
        <w:rPr>
          <w:rFonts w:ascii="Calibri" w:hAnsi="Calibri"/>
          <w:b w:val="0"/>
          <w:i w:val="0"/>
          <w:sz w:val="21"/>
        </w:rPr>
        <w:t>Dokumen elektronik disimpan pada sistem DMS yang memiliki kontrol akses berbasis peran (RBAC), enkripsi data, dan pencatatan audit trail.</w:t>
      </w:r>
    </w:p>
    <w:p>
      <w:pPr>
        <w:pStyle w:val="ListBullet"/>
        <w:spacing w:before="40" w:after="40"/>
        <w:ind w:left="397"/>
      </w:pPr>
      <w:r>
        <w:rPr>
          <w:rFonts w:ascii="Calibri" w:hAnsi="Calibri"/>
          <w:b w:val="0"/>
          <w:i w:val="0"/>
          <w:sz w:val="21"/>
        </w:rPr>
        <w:t>Dokumen dengan klasifikasi Rahasia wajib disimpan dengan enkripsi minimal AES-256.</w:t>
      </w:r>
    </w:p>
    <w:p>
      <w:pPr>
        <w:pStyle w:val="ListBullet"/>
        <w:spacing w:before="40" w:after="40"/>
        <w:ind w:left="397"/>
      </w:pPr>
      <w:r>
        <w:rPr>
          <w:rFonts w:ascii="Calibri" w:hAnsi="Calibri"/>
          <w:b w:val="0"/>
          <w:i w:val="0"/>
          <w:sz w:val="21"/>
        </w:rPr>
        <w:t>Backup dokumen elektronik dilakukan secara berkala dengan frekuensi minimal harian untuk dokumen kritis.</w:t>
      </w:r>
    </w:p>
    <w:p>
      <w:pPr>
        <w:pStyle w:val="ListBullet"/>
        <w:spacing w:before="40" w:after="40"/>
        <w:ind w:left="397"/>
      </w:pPr>
      <w:r>
        <w:rPr>
          <w:rFonts w:ascii="Calibri" w:hAnsi="Calibri"/>
          <w:b w:val="0"/>
          <w:i w:val="0"/>
          <w:sz w:val="21"/>
        </w:rPr>
        <w:t>Media penyimpanan fisik (CD, USB, hard drive) harus dilabeli dan diinventarisasi dalam daftar aset.</w:t>
      </w:r>
    </w:p>
    <w:p>
      <w:pPr>
        <w:pStyle w:val="ListBullet"/>
        <w:spacing w:before="40" w:after="40"/>
        <w:ind w:left="397"/>
      </w:pPr>
      <w:r>
        <w:rPr>
          <w:rFonts w:ascii="Calibri" w:hAnsi="Calibri"/>
          <w:b w:val="0"/>
          <w:i w:val="0"/>
          <w:sz w:val="21"/>
        </w:rPr>
        <w:t>Penyimpanan di cloud harus menggunakan layanan yang telah disetujui dan memenuhi standar keamanan Perusahaan.</w:t>
      </w:r>
    </w:p>
    <w:p>
      <w:pPr>
        <w:spacing w:before="200" w:after="80"/>
      </w:pPr>
      <w:r>
        <w:rPr>
          <w:rFonts w:ascii="Calibri" w:hAnsi="Calibri"/>
          <w:b/>
          <w:i w:val="0"/>
          <w:color w:val="2E74B5"/>
          <w:sz w:val="22"/>
        </w:rPr>
        <w:t>5.5  Pemusnahan Dokumen</w:t>
      </w:r>
    </w:p>
    <w:p>
      <w:pPr>
        <w:spacing w:before="60" w:after="60"/>
        <w:ind w:firstLine="0"/>
        <w:jc w:val="both"/>
      </w:pPr>
      <w:r>
        <w:rPr>
          <w:rFonts w:ascii="Calibri" w:hAnsi="Calibri"/>
          <w:b w:val="0"/>
          <w:i w:val="0"/>
          <w:sz w:val="21"/>
        </w:rPr>
        <w:t>Pemusnahan dokumen yang telah melampaui masa retensinya dilakukan dengan prosedur berikut:</w:t>
      </w:r>
    </w:p>
    <w:p>
      <w:pPr>
        <w:pStyle w:val="ListBullet"/>
        <w:spacing w:before="40" w:after="40"/>
        <w:ind w:left="397"/>
      </w:pPr>
      <w:r>
        <w:rPr>
          <w:rFonts w:ascii="Calibri" w:hAnsi="Calibri"/>
          <w:b w:val="0"/>
          <w:i w:val="0"/>
          <w:sz w:val="21"/>
        </w:rPr>
        <w:t>Dokumen yang akan dimusnahkan harus terlebih dahulu diverifikasi oleh Pemilik Dokumen dan mendapat persetujuan dari Manajer/Kepala Divisi terkait.</w:t>
      </w:r>
    </w:p>
    <w:p>
      <w:pPr>
        <w:pStyle w:val="ListBullet"/>
        <w:spacing w:before="40" w:after="40"/>
        <w:ind w:left="397"/>
      </w:pPr>
      <w:r>
        <w:rPr>
          <w:rFonts w:ascii="Calibri" w:hAnsi="Calibri"/>
          <w:b w:val="0"/>
          <w:i w:val="0"/>
          <w:sz w:val="21"/>
        </w:rPr>
        <w:t>Dokumen fisik dengan klasifikasi Rahasia dan Terbatas dimusnahkan dengan mesin penghancur kertas (shredder) berstandar DIN 66399 level P-4 atau lebih tinggi.</w:t>
      </w:r>
    </w:p>
    <w:p>
      <w:pPr>
        <w:pStyle w:val="ListBullet"/>
        <w:spacing w:before="40" w:after="40"/>
        <w:ind w:left="397"/>
      </w:pPr>
      <w:r>
        <w:rPr>
          <w:rFonts w:ascii="Calibri" w:hAnsi="Calibri"/>
          <w:b w:val="0"/>
          <w:i w:val="0"/>
          <w:sz w:val="21"/>
        </w:rPr>
        <w:t>Dokumen elektronik dihapus menggunakan metode sanitasi data yang memenuhi standar (DoD 5220.22-M atau setara) untuk menghindari pemulihan data.</w:t>
      </w:r>
    </w:p>
    <w:p>
      <w:pPr>
        <w:pStyle w:val="ListBullet"/>
        <w:spacing w:before="40" w:after="40"/>
        <w:ind w:left="397"/>
      </w:pPr>
      <w:r>
        <w:rPr>
          <w:rFonts w:ascii="Calibri" w:hAnsi="Calibri"/>
          <w:b w:val="0"/>
          <w:i w:val="0"/>
          <w:sz w:val="21"/>
        </w:rPr>
        <w:t>Setiap pemusnahan dokumen wajib didokumentasikan dalam Berita Acara Pemusnahan Dokumen yang ditandatangani oleh minimal dua orang saksi.</w:t>
      </w:r>
    </w:p>
    <w:p>
      <w:pPr>
        <w:pStyle w:val="ListBullet"/>
        <w:spacing w:before="40" w:after="40"/>
        <w:ind w:left="397"/>
      </w:pPr>
      <w:r>
        <w:rPr>
          <w:rFonts w:ascii="Calibri" w:hAnsi="Calibri"/>
          <w:b w:val="0"/>
          <w:i w:val="0"/>
          <w:sz w:val="21"/>
        </w:rPr>
        <w:t>Pemusnahan dokumen yang berkaitan dengan proses hukum yang sedang berjalan (litigation hold) dilarang hingga proses hukum tersebut selesai.</w:t>
      </w:r>
    </w:p>
    <w:p>
      <w:pPr>
        <w:spacing w:before="200" w:after="80"/>
      </w:pPr>
      <w:r>
        <w:rPr>
          <w:rFonts w:ascii="Calibri" w:hAnsi="Calibri"/>
          <w:b/>
          <w:i w:val="0"/>
          <w:color w:val="2E74B5"/>
          <w:sz w:val="22"/>
        </w:rPr>
        <w:t>5.6  Pengecualian (Litigation Hold)</w:t>
      </w:r>
    </w:p>
    <w:p>
      <w:pPr>
        <w:spacing w:before="60" w:after="60"/>
        <w:ind w:firstLine="0"/>
        <w:jc w:val="both"/>
      </w:pPr>
      <w:r>
        <w:rPr>
          <w:rFonts w:ascii="Calibri" w:hAnsi="Calibri"/>
          <w:b w:val="0"/>
          <w:i w:val="0"/>
          <w:sz w:val="21"/>
        </w:rPr>
        <w:t>Dokumen yang terkait dengan proses hukum, investigasi regulasi, atau audit yang sedang berjalan dikecualikan dari jadwal pemusnahan normal. Legal Department berwenang menerbitkan perintah "Litigation Hold" yang menangguhkan pemusnahan dokumen terkait hingga pemberitahuan resmi dicabut. Setiap perintah Litigation Hold harus dikomunikasikan secara tertulis kepada seluruh Pemilik Dokumen yang terdampak.</w:t>
      </w:r>
    </w:p>
    <w:p>
      <w:pPr>
        <w:keepNext/>
        <w:spacing w:before="280" w:after="120"/>
        <w:pBdr>
          <w:left w:val="single" w:sz="24" w:space="8" w:color="2E74B5"/>
        </w:pBdr>
      </w:pPr>
      <w:r>
        <w:rPr>
          <w:rFonts w:ascii="Calibri" w:hAnsi="Calibri"/>
          <w:b/>
          <w:i w:val="0"/>
          <w:color w:val="1F3564"/>
          <w:sz w:val="26"/>
        </w:rPr>
        <w:t>6. PERAN DAN TANGGUNG JAWAB</w:t>
      </w:r>
    </w:p>
    <w:p>
      <w:pPr>
        <w:spacing w:before="200" w:after="80"/>
      </w:pPr>
      <w:r>
        <w:rPr>
          <w:rFonts w:ascii="Calibri" w:hAnsi="Calibri"/>
          <w:b/>
          <w:i w:val="0"/>
          <w:color w:val="2E74B5"/>
          <w:sz w:val="22"/>
        </w:rPr>
        <w:t>Direksi / Management</w:t>
      </w:r>
    </w:p>
    <w:p>
      <w:pPr>
        <w:pStyle w:val="ListBullet"/>
        <w:spacing w:before="40" w:after="40"/>
        <w:ind w:left="397"/>
      </w:pPr>
      <w:r>
        <w:rPr>
          <w:rFonts w:ascii="Calibri" w:hAnsi="Calibri"/>
          <w:b w:val="0"/>
          <w:i w:val="0"/>
          <w:sz w:val="21"/>
        </w:rPr>
        <w:t>Menyetujui dan mengesahkan Kebijakan Retensi Dokumen.</w:t>
      </w:r>
    </w:p>
    <w:p>
      <w:pPr>
        <w:pStyle w:val="ListBullet"/>
        <w:spacing w:before="40" w:after="40"/>
        <w:ind w:left="397"/>
      </w:pPr>
      <w:r>
        <w:rPr>
          <w:rFonts w:ascii="Calibri" w:hAnsi="Calibri"/>
          <w:b w:val="0"/>
          <w:i w:val="0"/>
          <w:sz w:val="21"/>
        </w:rPr>
        <w:t>Memastikan tersedianya sumber daya untuk implementasi kebijakan ini.</w:t>
      </w:r>
    </w:p>
    <w:p>
      <w:pPr>
        <w:pStyle w:val="ListBullet"/>
        <w:spacing w:before="40" w:after="40"/>
        <w:ind w:left="397"/>
      </w:pPr>
      <w:r>
        <w:rPr>
          <w:rFonts w:ascii="Calibri" w:hAnsi="Calibri"/>
          <w:b w:val="0"/>
          <w:i w:val="0"/>
          <w:sz w:val="21"/>
        </w:rPr>
        <w:t>Mendukung budaya kepatuhan terhadap pengelolaan dokumen di seluruh Perusahaan.</w:t>
      </w:r>
    </w:p>
    <w:p>
      <w:pPr>
        <w:spacing w:before="200" w:after="80"/>
      </w:pPr>
      <w:r>
        <w:rPr>
          <w:rFonts w:ascii="Calibri" w:hAnsi="Calibri"/>
          <w:b/>
          <w:i w:val="0"/>
          <w:color w:val="2E74B5"/>
          <w:sz w:val="22"/>
        </w:rPr>
        <w:t>Departemen IT &amp; Information Security (Pemilik Kebijakan)</w:t>
      </w:r>
    </w:p>
    <w:p>
      <w:pPr>
        <w:pStyle w:val="ListBullet"/>
        <w:spacing w:before="40" w:after="40"/>
        <w:ind w:left="397"/>
      </w:pPr>
      <w:r>
        <w:rPr>
          <w:rFonts w:ascii="Calibri" w:hAnsi="Calibri"/>
          <w:b w:val="0"/>
          <w:i w:val="0"/>
          <w:sz w:val="21"/>
        </w:rPr>
        <w:t>Merancang, memperbarui, dan memastikan implementasi kebijakan ini.</w:t>
      </w:r>
    </w:p>
    <w:p>
      <w:pPr>
        <w:pStyle w:val="ListBullet"/>
        <w:spacing w:before="40" w:after="40"/>
        <w:ind w:left="397"/>
      </w:pPr>
      <w:r>
        <w:rPr>
          <w:rFonts w:ascii="Calibri" w:hAnsi="Calibri"/>
          <w:b w:val="0"/>
          <w:i w:val="0"/>
          <w:sz w:val="21"/>
        </w:rPr>
        <w:t>Mengelola sistem DMS dan infrastruktur penyimpanan digital.</w:t>
      </w:r>
    </w:p>
    <w:p>
      <w:pPr>
        <w:pStyle w:val="ListBullet"/>
        <w:spacing w:before="40" w:after="40"/>
        <w:ind w:left="397"/>
      </w:pPr>
      <w:r>
        <w:rPr>
          <w:rFonts w:ascii="Calibri" w:hAnsi="Calibri"/>
          <w:b w:val="0"/>
          <w:i w:val="0"/>
          <w:sz w:val="21"/>
        </w:rPr>
        <w:t>Melakukan pemantauan kepatuhan dan pelaporan kepada manajemen.</w:t>
      </w:r>
    </w:p>
    <w:p>
      <w:pPr>
        <w:pStyle w:val="ListBullet"/>
        <w:spacing w:before="40" w:after="40"/>
        <w:ind w:left="397"/>
      </w:pPr>
      <w:r>
        <w:rPr>
          <w:rFonts w:ascii="Calibri" w:hAnsi="Calibri"/>
          <w:b w:val="0"/>
          <w:i w:val="0"/>
          <w:sz w:val="21"/>
        </w:rPr>
        <w:t>Memberikan pelatihan terkait pengelolaan dokumen kepada seluruh karyawan.</w:t>
      </w:r>
    </w:p>
    <w:p>
      <w:pPr>
        <w:spacing w:before="200" w:after="80"/>
      </w:pPr>
      <w:r>
        <w:rPr>
          <w:rFonts w:ascii="Calibri" w:hAnsi="Calibri"/>
          <w:b/>
          <w:i w:val="0"/>
          <w:color w:val="2E74B5"/>
          <w:sz w:val="22"/>
        </w:rPr>
        <w:t>Kepala Divisi / Manajer</w:t>
      </w:r>
    </w:p>
    <w:p>
      <w:pPr>
        <w:pStyle w:val="ListBullet"/>
        <w:spacing w:before="40" w:after="40"/>
        <w:ind w:left="397"/>
      </w:pPr>
      <w:r>
        <w:rPr>
          <w:rFonts w:ascii="Calibri" w:hAnsi="Calibri"/>
          <w:b w:val="0"/>
          <w:i w:val="0"/>
          <w:sz w:val="21"/>
        </w:rPr>
        <w:t>Menunjuk Koordinator Arsip di masing-masing unit kerja.</w:t>
      </w:r>
    </w:p>
    <w:p>
      <w:pPr>
        <w:pStyle w:val="ListBullet"/>
        <w:spacing w:before="40" w:after="40"/>
        <w:ind w:left="397"/>
      </w:pPr>
      <w:r>
        <w:rPr>
          <w:rFonts w:ascii="Calibri" w:hAnsi="Calibri"/>
          <w:b w:val="0"/>
          <w:i w:val="0"/>
          <w:sz w:val="21"/>
        </w:rPr>
        <w:t>Memastikan seluruh dokumen unit kerja dikelola sesuai kebijakan ini.</w:t>
      </w:r>
    </w:p>
    <w:p>
      <w:pPr>
        <w:pStyle w:val="ListBullet"/>
        <w:spacing w:before="40" w:after="40"/>
        <w:ind w:left="397"/>
      </w:pPr>
      <w:r>
        <w:rPr>
          <w:rFonts w:ascii="Calibri" w:hAnsi="Calibri"/>
          <w:b w:val="0"/>
          <w:i w:val="0"/>
          <w:sz w:val="21"/>
        </w:rPr>
        <w:t>Menyetujui pemusnahan dokumen yang telah melewati masa retensinya.</w:t>
      </w:r>
    </w:p>
    <w:p>
      <w:pPr>
        <w:pStyle w:val="ListBullet"/>
        <w:spacing w:before="40" w:after="40"/>
        <w:ind w:left="397"/>
      </w:pPr>
      <w:r>
        <w:rPr>
          <w:rFonts w:ascii="Calibri" w:hAnsi="Calibri"/>
          <w:b w:val="0"/>
          <w:i w:val="0"/>
          <w:sz w:val="21"/>
        </w:rPr>
        <w:t>Melaporkan insiden terkait pengelolaan dokumen kepada IT &amp; Information Security.</w:t>
      </w:r>
    </w:p>
    <w:p>
      <w:pPr>
        <w:spacing w:before="200" w:after="80"/>
      </w:pPr>
      <w:r>
        <w:rPr>
          <w:rFonts w:ascii="Calibri" w:hAnsi="Calibri"/>
          <w:b/>
          <w:i w:val="0"/>
          <w:color w:val="2E74B5"/>
          <w:sz w:val="22"/>
        </w:rPr>
        <w:t>Koordinator Arsip (Records Coordinator)</w:t>
      </w:r>
    </w:p>
    <w:p>
      <w:pPr>
        <w:pStyle w:val="ListBullet"/>
        <w:spacing w:before="40" w:after="40"/>
        <w:ind w:left="397"/>
      </w:pPr>
      <w:r>
        <w:rPr>
          <w:rFonts w:ascii="Calibri" w:hAnsi="Calibri"/>
          <w:b w:val="0"/>
          <w:i w:val="0"/>
          <w:sz w:val="21"/>
        </w:rPr>
        <w:t>Mengidentifikasi, mengklasifikasikan, dan meregistrasikan seluruh dokumen unit kerjanya.</w:t>
      </w:r>
    </w:p>
    <w:p>
      <w:pPr>
        <w:pStyle w:val="ListBullet"/>
        <w:spacing w:before="40" w:after="40"/>
        <w:ind w:left="397"/>
      </w:pPr>
      <w:r>
        <w:rPr>
          <w:rFonts w:ascii="Calibri" w:hAnsi="Calibri"/>
          <w:b w:val="0"/>
          <w:i w:val="0"/>
          <w:sz w:val="21"/>
        </w:rPr>
        <w:t>Memelihara daftar inventaris dokumen dan jadwal retensi unit kerja.</w:t>
      </w:r>
    </w:p>
    <w:p>
      <w:pPr>
        <w:pStyle w:val="ListBullet"/>
        <w:spacing w:before="40" w:after="40"/>
        <w:ind w:left="397"/>
      </w:pPr>
      <w:r>
        <w:rPr>
          <w:rFonts w:ascii="Calibri" w:hAnsi="Calibri"/>
          <w:b w:val="0"/>
          <w:i w:val="0"/>
          <w:sz w:val="21"/>
        </w:rPr>
        <w:t>Mengkoordinasikan proses review tahunan dan pemusnahan dokumen.</w:t>
      </w:r>
    </w:p>
    <w:p>
      <w:pPr>
        <w:pStyle w:val="ListBullet"/>
        <w:spacing w:before="40" w:after="40"/>
        <w:ind w:left="397"/>
      </w:pPr>
      <w:r>
        <w:rPr>
          <w:rFonts w:ascii="Calibri" w:hAnsi="Calibri"/>
          <w:b w:val="0"/>
          <w:i w:val="0"/>
          <w:sz w:val="21"/>
        </w:rPr>
        <w:t>Memastikan dokumen disimpan sesuai prosedur yang berlaku.</w:t>
      </w:r>
    </w:p>
    <w:p>
      <w:pPr>
        <w:spacing w:before="200" w:after="80"/>
      </w:pPr>
      <w:r>
        <w:rPr>
          <w:rFonts w:ascii="Calibri" w:hAnsi="Calibri"/>
          <w:b/>
          <w:i w:val="0"/>
          <w:color w:val="2E74B5"/>
          <w:sz w:val="22"/>
        </w:rPr>
        <w:t>Seluruh Karyawan</w:t>
      </w:r>
    </w:p>
    <w:p>
      <w:pPr>
        <w:pStyle w:val="ListBullet"/>
        <w:spacing w:before="40" w:after="40"/>
        <w:ind w:left="397"/>
      </w:pPr>
      <w:r>
        <w:rPr>
          <w:rFonts w:ascii="Calibri" w:hAnsi="Calibri"/>
          <w:b w:val="0"/>
          <w:i w:val="0"/>
          <w:sz w:val="21"/>
        </w:rPr>
        <w:t>Memahami dan mematuhi kebijakan retensi dokumen ini.</w:t>
      </w:r>
    </w:p>
    <w:p>
      <w:pPr>
        <w:pStyle w:val="ListBullet"/>
        <w:spacing w:before="40" w:after="40"/>
        <w:ind w:left="397"/>
      </w:pPr>
      <w:r>
        <w:rPr>
          <w:rFonts w:ascii="Calibri" w:hAnsi="Calibri"/>
          <w:b w:val="0"/>
          <w:i w:val="0"/>
          <w:sz w:val="21"/>
        </w:rPr>
        <w:t>Mengklasifikasikan dan menyimpan dokumen yang dibuat atau diterimanya sesuai ketentuan.</w:t>
      </w:r>
    </w:p>
    <w:p>
      <w:pPr>
        <w:pStyle w:val="ListBullet"/>
        <w:spacing w:before="40" w:after="40"/>
        <w:ind w:left="397"/>
      </w:pPr>
      <w:r>
        <w:rPr>
          <w:rFonts w:ascii="Calibri" w:hAnsi="Calibri"/>
          <w:b w:val="0"/>
          <w:i w:val="0"/>
          <w:sz w:val="21"/>
        </w:rPr>
        <w:t>Melaporkan kepada atasan atau IT Security jika menemukan pelanggaran pengelolaan dokumen.</w:t>
      </w:r>
    </w:p>
    <w:p>
      <w:pPr>
        <w:pStyle w:val="ListBullet"/>
        <w:spacing w:before="40" w:after="40"/>
        <w:ind w:left="397"/>
      </w:pPr>
      <w:r>
        <w:rPr>
          <w:rFonts w:ascii="Calibri" w:hAnsi="Calibri"/>
          <w:b w:val="0"/>
          <w:i w:val="0"/>
          <w:sz w:val="21"/>
        </w:rPr>
        <w:t>Tidak memusnahkan dokumen tanpa persetujuan yang sah.</w:t>
      </w:r>
    </w:p>
    <w:p>
      <w:pPr>
        <w:spacing w:before="200" w:after="80"/>
      </w:pPr>
      <w:r>
        <w:rPr>
          <w:rFonts w:ascii="Calibri" w:hAnsi="Calibri"/>
          <w:b/>
          <w:i w:val="0"/>
          <w:color w:val="2E74B5"/>
          <w:sz w:val="22"/>
        </w:rPr>
        <w:t>Legal Department</w:t>
      </w:r>
    </w:p>
    <w:p>
      <w:pPr>
        <w:pStyle w:val="ListBullet"/>
        <w:spacing w:before="40" w:after="40"/>
        <w:ind w:left="397"/>
      </w:pPr>
      <w:r>
        <w:rPr>
          <w:rFonts w:ascii="Calibri" w:hAnsi="Calibri"/>
          <w:b w:val="0"/>
          <w:i w:val="0"/>
          <w:sz w:val="21"/>
        </w:rPr>
        <w:t>Memberikan panduan mengenai persyaratan retensi berdasarkan regulasi dan hukum yang berlaku.</w:t>
      </w:r>
    </w:p>
    <w:p>
      <w:pPr>
        <w:pStyle w:val="ListBullet"/>
        <w:spacing w:before="40" w:after="40"/>
        <w:ind w:left="397"/>
      </w:pPr>
      <w:r>
        <w:rPr>
          <w:rFonts w:ascii="Calibri" w:hAnsi="Calibri"/>
          <w:b w:val="0"/>
          <w:i w:val="0"/>
          <w:sz w:val="21"/>
        </w:rPr>
        <w:t>Menerbitkan dan mencabut perintah Litigation Hold.</w:t>
      </w:r>
    </w:p>
    <w:p>
      <w:pPr>
        <w:pStyle w:val="ListBullet"/>
        <w:spacing w:before="40" w:after="40"/>
        <w:ind w:left="397"/>
      </w:pPr>
      <w:r>
        <w:rPr>
          <w:rFonts w:ascii="Calibri" w:hAnsi="Calibri"/>
          <w:b w:val="0"/>
          <w:i w:val="0"/>
          <w:sz w:val="21"/>
        </w:rPr>
        <w:t>Mewakili Perusahaan dalam hal dokumen dibutuhkan untuk proses hukum.</w:t>
      </w:r>
    </w:p>
    <w:p>
      <w:pPr>
        <w:keepNext/>
        <w:spacing w:before="280" w:after="120"/>
        <w:pBdr>
          <w:left w:val="single" w:sz="24" w:space="8" w:color="2E74B5"/>
        </w:pBdr>
      </w:pPr>
      <w:r>
        <w:rPr>
          <w:rFonts w:ascii="Calibri" w:hAnsi="Calibri"/>
          <w:b/>
          <w:i w:val="0"/>
          <w:color w:val="1F3564"/>
          <w:sz w:val="26"/>
        </w:rPr>
        <w:t>7. AUDIT DAN KEPATUHAN</w:t>
      </w:r>
    </w:p>
    <w:p>
      <w:pPr>
        <w:spacing w:before="60" w:after="60"/>
        <w:ind w:firstLine="0"/>
        <w:jc w:val="both"/>
      </w:pPr>
      <w:r>
        <w:rPr>
          <w:rFonts w:ascii="Calibri" w:hAnsi="Calibri"/>
          <w:b w:val="0"/>
          <w:i w:val="0"/>
          <w:sz w:val="21"/>
        </w:rPr>
        <w:t>Kepatuhan terhadap kebijakan ini dipantau melalui mekanisme berikut:</w:t>
      </w:r>
    </w:p>
    <w:p>
      <w:pPr>
        <w:pStyle w:val="ListBullet"/>
        <w:spacing w:before="40" w:after="40"/>
        <w:ind w:left="397"/>
      </w:pPr>
      <w:r>
        <w:rPr>
          <w:rFonts w:ascii="Calibri" w:hAnsi="Calibri"/>
          <w:b w:val="0"/>
          <w:i w:val="0"/>
          <w:sz w:val="21"/>
        </w:rPr>
        <w:t>Audit internal ISMS yang dilakukan minimal satu kali per tahun mencakup verifikasi kepatuhan retensi dokumen.</w:t>
      </w:r>
    </w:p>
    <w:p>
      <w:pPr>
        <w:pStyle w:val="ListBullet"/>
        <w:spacing w:before="40" w:after="40"/>
        <w:ind w:left="397"/>
      </w:pPr>
      <w:r>
        <w:rPr>
          <w:rFonts w:ascii="Calibri" w:hAnsi="Calibri"/>
          <w:b w:val="0"/>
          <w:i w:val="0"/>
          <w:sz w:val="21"/>
        </w:rPr>
        <w:t>Review tahunan Jadwal Retensi Dokumen oleh Departemen IT &amp; Information Security bersama Legal Department.</w:t>
      </w:r>
    </w:p>
    <w:p>
      <w:pPr>
        <w:pStyle w:val="ListBullet"/>
        <w:spacing w:before="40" w:after="40"/>
        <w:ind w:left="397"/>
      </w:pPr>
      <w:r>
        <w:rPr>
          <w:rFonts w:ascii="Calibri" w:hAnsi="Calibri"/>
          <w:b w:val="0"/>
          <w:i w:val="0"/>
          <w:sz w:val="21"/>
        </w:rPr>
        <w:t>Pelaporan insiden pengelolaan dokumen melalui sistem pelaporan insiden yang berlaku.</w:t>
      </w:r>
    </w:p>
    <w:p>
      <w:pPr>
        <w:pStyle w:val="ListBullet"/>
        <w:spacing w:before="40" w:after="40"/>
        <w:ind w:left="397"/>
      </w:pPr>
      <w:r>
        <w:rPr>
          <w:rFonts w:ascii="Calibri" w:hAnsi="Calibri"/>
          <w:b w:val="0"/>
          <w:i w:val="0"/>
          <w:sz w:val="21"/>
        </w:rPr>
        <w:t>Pemantauan log akses sistem DMS secara berkala oleh tim IT Security.</w:t>
      </w:r>
    </w:p>
    <w:p>
      <w:pPr>
        <w:spacing w:before="60" w:after="60"/>
        <w:ind w:firstLine="0"/>
        <w:jc w:val="both"/>
      </w:pPr>
      <w:r>
        <w:rPr>
          <w:rFonts w:ascii="Calibri" w:hAnsi="Calibri"/>
          <w:b w:val="0"/>
          <w:i w:val="0"/>
          <w:sz w:val="21"/>
        </w:rPr>
        <w:t>Setiap pelanggaran terhadap kebijakan ini akan ditindaklanjuti sesuai dengan ketentuan Peraturan Disiplin Karyawan dan dapat berakibat pada sanksi administratif hingga pemutusan hubungan kerja, tergantung pada tingkat keparahan pelanggaran.</w:t>
      </w:r>
    </w:p>
    <w:p>
      <w:pPr>
        <w:keepNext/>
        <w:spacing w:before="280" w:after="120"/>
        <w:pBdr>
          <w:left w:val="single" w:sz="24" w:space="8" w:color="2E74B5"/>
        </w:pBdr>
      </w:pPr>
      <w:r>
        <w:rPr>
          <w:rFonts w:ascii="Calibri" w:hAnsi="Calibri"/>
          <w:b/>
          <w:i w:val="0"/>
          <w:color w:val="1F3564"/>
          <w:sz w:val="26"/>
        </w:rPr>
        <w:t>8. TINJAUAN DAN PEMBARUAN KEBIJAKAN</w:t>
      </w:r>
    </w:p>
    <w:p>
      <w:pPr>
        <w:spacing w:before="60" w:after="60"/>
        <w:ind w:firstLine="0"/>
        <w:jc w:val="both"/>
      </w:pPr>
      <w:r>
        <w:rPr>
          <w:rFonts w:ascii="Calibri" w:hAnsi="Calibri"/>
          <w:b w:val="0"/>
          <w:i w:val="0"/>
          <w:sz w:val="21"/>
        </w:rPr>
        <w:t>Kebijakan ini ditinjau minimal satu kali setiap tahun atau bila terjadi perubahan signifikan pada aspek berikut:</w:t>
      </w:r>
    </w:p>
    <w:p>
      <w:pPr>
        <w:pStyle w:val="ListBullet"/>
        <w:spacing w:before="40" w:after="40"/>
        <w:ind w:left="397"/>
      </w:pPr>
      <w:r>
        <w:rPr>
          <w:rFonts w:ascii="Calibri" w:hAnsi="Calibri"/>
          <w:b w:val="0"/>
          <w:i w:val="0"/>
          <w:sz w:val="21"/>
        </w:rPr>
        <w:t>Perubahan peraturan perundang-undangan atau regulasi OJK yang berdampak pada retensi dokumen.</w:t>
      </w:r>
    </w:p>
    <w:p>
      <w:pPr>
        <w:pStyle w:val="ListBullet"/>
        <w:spacing w:before="40" w:after="40"/>
        <w:ind w:left="397"/>
      </w:pPr>
      <w:r>
        <w:rPr>
          <w:rFonts w:ascii="Calibri" w:hAnsi="Calibri"/>
          <w:b w:val="0"/>
          <w:i w:val="0"/>
          <w:sz w:val="21"/>
        </w:rPr>
        <w:t>Perubahan standar ISO/IEC 27001 atau standar terkait lainnya.</w:t>
      </w:r>
    </w:p>
    <w:p>
      <w:pPr>
        <w:pStyle w:val="ListBullet"/>
        <w:spacing w:before="40" w:after="40"/>
        <w:ind w:left="397"/>
      </w:pPr>
      <w:r>
        <w:rPr>
          <w:rFonts w:ascii="Calibri" w:hAnsi="Calibri"/>
          <w:b w:val="0"/>
          <w:i w:val="0"/>
          <w:sz w:val="21"/>
        </w:rPr>
        <w:t>Perubahan signifikan dalam proses bisnis, sistem teknologi informasi, atau struktur organisasi Perusahaan.</w:t>
      </w:r>
    </w:p>
    <w:p>
      <w:pPr>
        <w:pStyle w:val="ListBullet"/>
        <w:spacing w:before="40" w:after="40"/>
        <w:ind w:left="397"/>
      </w:pPr>
      <w:r>
        <w:rPr>
          <w:rFonts w:ascii="Calibri" w:hAnsi="Calibri"/>
          <w:b w:val="0"/>
          <w:i w:val="0"/>
          <w:sz w:val="21"/>
        </w:rPr>
        <w:t>Temuan dari hasil audit internal atau eksternal yang memerlukan penyesuaian kebijakan.</w:t>
      </w:r>
    </w:p>
    <w:p>
      <w:pPr>
        <w:spacing w:before="60" w:after="60"/>
        <w:ind w:firstLine="0"/>
        <w:jc w:val="both"/>
      </w:pPr>
      <w:r>
        <w:rPr>
          <w:rFonts w:ascii="Calibri" w:hAnsi="Calibri"/>
          <w:b w:val="0"/>
          <w:i w:val="0"/>
          <w:sz w:val="21"/>
        </w:rPr>
        <w:t>Pembaruan kebijakan harus melalui proses persetujuan formal oleh Direksi sebelum diberlakukan.</w:t>
      </w:r>
    </w:p>
    <w:p>
      <w:r>
        <w:br w:type="page"/>
      </w:r>
    </w:p>
    <w:p>
      <w:pPr>
        <w:keepNext/>
        <w:spacing w:before="280" w:after="120"/>
        <w:pBdr>
          <w:left w:val="single" w:sz="24" w:space="8" w:color="2E74B5"/>
        </w:pBdr>
      </w:pPr>
      <w:r>
        <w:rPr>
          <w:rFonts w:ascii="Calibri" w:hAnsi="Calibri"/>
          <w:b/>
          <w:i w:val="0"/>
          <w:color w:val="1F3564"/>
          <w:sz w:val="26"/>
        </w:rPr>
        <w:t>9. PENGESAHAN KEBIJAKAN</w:t>
      </w:r>
    </w:p>
    <w:p>
      <w:pPr>
        <w:spacing w:before="60" w:after="60"/>
        <w:ind w:firstLine="0"/>
        <w:jc w:val="both"/>
      </w:pPr>
      <w:r>
        <w:rPr>
          <w:rFonts w:ascii="Calibri" w:hAnsi="Calibri"/>
          <w:b w:val="0"/>
          <w:i w:val="0"/>
          <w:sz w:val="21"/>
        </w:rPr>
        <w:t>Kebijakan ini ditetapkan dan disahkan oleh Direksi PT Equity Life Indonesia.</w:t>
      </w:r>
    </w:p>
    <w:tbl>
      <w:tblPr>
        <w:tblW w:type="auto" w:w="0"/>
        <w:jc w:val="center"/>
        <w:tblLook w:firstColumn="1" w:firstRow="1" w:lastColumn="0" w:lastRow="0" w:noHBand="0" w:noVBand="1" w:val="04A0"/>
      </w:tblPr>
      <w:tblGrid>
        <w:gridCol w:w="3024"/>
        <w:gridCol w:w="3024"/>
        <w:gridCol w:w="3024"/>
      </w:tblGrid>
      <w:tr>
        <w:tc>
          <w:tcPr>
            <w:tcW w:type="dxa" w:w="2948"/>
            <w:shd w:val="clear" w:color="auto" w:fill="1F3564"/>
          </w:tcPr>
          <w:p>
            <w:pPr>
              <w:spacing w:before="100" w:after="100"/>
              <w:jc w:val="center"/>
            </w:pPr>
            <w:r>
              <w:rPr>
                <w:rFonts w:ascii="Calibri" w:hAnsi="Calibri"/>
                <w:b/>
                <w:i w:val="0"/>
                <w:color w:val="FFFFFF"/>
                <w:sz w:val="20"/>
              </w:rPr>
              <w:t>Disiapkan Oleh</w:t>
            </w:r>
          </w:p>
        </w:tc>
        <w:tc>
          <w:tcPr>
            <w:tcW w:type="dxa" w:w="2948"/>
            <w:shd w:val="clear" w:color="auto" w:fill="1F3564"/>
          </w:tcPr>
          <w:p>
            <w:pPr>
              <w:spacing w:before="100" w:after="100"/>
              <w:jc w:val="center"/>
            </w:pPr>
            <w:r>
              <w:rPr>
                <w:rFonts w:ascii="Calibri" w:hAnsi="Calibri"/>
                <w:b/>
                <w:i w:val="0"/>
                <w:color w:val="FFFFFF"/>
                <w:sz w:val="20"/>
              </w:rPr>
              <w:t>Diperiksa Oleh</w:t>
            </w:r>
          </w:p>
        </w:tc>
        <w:tc>
          <w:tcPr>
            <w:tcW w:type="dxa" w:w="2948"/>
            <w:shd w:val="clear" w:color="auto" w:fill="1F3564"/>
          </w:tcPr>
          <w:p>
            <w:pPr>
              <w:spacing w:before="100" w:after="100"/>
              <w:jc w:val="center"/>
            </w:pPr>
            <w:r>
              <w:rPr>
                <w:rFonts w:ascii="Calibri" w:hAnsi="Calibri"/>
                <w:b/>
                <w:i w:val="0"/>
                <w:color w:val="FFFFFF"/>
                <w:sz w:val="20"/>
              </w:rPr>
              <w:t>Disetujui Oleh</w:t>
            </w:r>
          </w:p>
        </w:tc>
      </w:tr>
      <w:tr>
        <w:tc>
          <w:tcPr>
            <w:tcW w:type="dxa" w:w="2948"/>
          </w:tcPr>
          <w:p>
            <w:pPr>
              <w:spacing w:before="1000" w:after="100"/>
            </w:pPr>
          </w:p>
        </w:tc>
        <w:tc>
          <w:tcPr>
            <w:tcW w:type="dxa" w:w="2948"/>
          </w:tcPr>
          <w:p>
            <w:pPr>
              <w:spacing w:before="1000" w:after="100"/>
            </w:pPr>
          </w:p>
        </w:tc>
        <w:tc>
          <w:tcPr>
            <w:tcW w:type="dxa" w:w="2948"/>
          </w:tcPr>
          <w:p>
            <w:pPr>
              <w:spacing w:before="1000" w:after="100"/>
            </w:pPr>
          </w:p>
        </w:tc>
      </w:tr>
      <w:tr>
        <w:tc>
          <w:tcPr>
            <w:tcW w:type="dxa" w:w="2948"/>
          </w:tcPr>
          <w:p>
            <w:pPr>
              <w:spacing w:before="40" w:after="40"/>
              <w:jc w:val="center"/>
            </w:pPr>
            <w:r>
              <w:rPr>
                <w:rFonts w:ascii="Calibri" w:hAnsi="Calibri"/>
                <w:b w:val="0"/>
                <w:i w:val="0"/>
                <w:sz w:val="20"/>
              </w:rPr>
              <w:t>_______________________</w:t>
            </w:r>
          </w:p>
        </w:tc>
        <w:tc>
          <w:tcPr>
            <w:tcW w:type="dxa" w:w="2948"/>
          </w:tcPr>
          <w:p>
            <w:pPr>
              <w:spacing w:before="40" w:after="40"/>
              <w:jc w:val="center"/>
            </w:pPr>
            <w:r>
              <w:rPr>
                <w:rFonts w:ascii="Calibri" w:hAnsi="Calibri"/>
                <w:b w:val="0"/>
                <w:i w:val="0"/>
                <w:sz w:val="20"/>
              </w:rPr>
              <w:t>_______________________</w:t>
            </w:r>
          </w:p>
        </w:tc>
        <w:tc>
          <w:tcPr>
            <w:tcW w:type="dxa" w:w="2948"/>
          </w:tcPr>
          <w:p>
            <w:pPr>
              <w:spacing w:before="40" w:after="40"/>
              <w:jc w:val="center"/>
            </w:pPr>
            <w:r>
              <w:rPr>
                <w:rFonts w:ascii="Calibri" w:hAnsi="Calibri"/>
                <w:b w:val="0"/>
                <w:i w:val="0"/>
                <w:sz w:val="20"/>
              </w:rPr>
              <w:t>_______________________</w:t>
            </w:r>
          </w:p>
        </w:tc>
      </w:tr>
      <w:tr>
        <w:tc>
          <w:tcPr>
            <w:tcW w:type="dxa" w:w="2948"/>
          </w:tcPr>
          <w:p>
            <w:pPr>
              <w:spacing w:before="40" w:after="40"/>
              <w:jc w:val="center"/>
            </w:pPr>
            <w:r>
              <w:rPr>
                <w:rFonts w:ascii="Calibri" w:hAnsi="Calibri"/>
                <w:b/>
                <w:i w:val="0"/>
                <w:color w:val="1F3564"/>
                <w:sz w:val="19"/>
              </w:rPr>
              <w:t>Kepala Departemen IT</w:t>
              <w:br/>
              <w:t>&amp; Information Security</w:t>
            </w:r>
          </w:p>
        </w:tc>
        <w:tc>
          <w:tcPr>
            <w:tcW w:type="dxa" w:w="2948"/>
          </w:tcPr>
          <w:p>
            <w:pPr>
              <w:spacing w:before="40" w:after="40"/>
              <w:jc w:val="center"/>
            </w:pPr>
            <w:r>
              <w:rPr>
                <w:rFonts w:ascii="Calibri" w:hAnsi="Calibri"/>
                <w:b/>
                <w:i w:val="0"/>
                <w:color w:val="1F3564"/>
                <w:sz w:val="19"/>
              </w:rPr>
              <w:t>Chief Risk Officer (CRO)</w:t>
            </w:r>
          </w:p>
        </w:tc>
        <w:tc>
          <w:tcPr>
            <w:tcW w:type="dxa" w:w="2948"/>
          </w:tcPr>
          <w:p>
            <w:pPr>
              <w:spacing w:before="40" w:after="40"/>
              <w:jc w:val="center"/>
            </w:pPr>
            <w:r>
              <w:rPr>
                <w:rFonts w:ascii="Calibri" w:hAnsi="Calibri"/>
                <w:b/>
                <w:i w:val="0"/>
                <w:color w:val="1F3564"/>
                <w:sz w:val="19"/>
              </w:rPr>
              <w:t>Direktur Utama</w:t>
            </w:r>
          </w:p>
        </w:tc>
      </w:tr>
      <w:tr>
        <w:tc>
          <w:tcPr>
            <w:tcW w:type="dxa" w:w="2948"/>
          </w:tcPr>
          <w:p>
            <w:pPr>
              <w:spacing w:before="40" w:after="160"/>
              <w:jc w:val="center"/>
            </w:pPr>
            <w:r>
              <w:rPr>
                <w:rFonts w:ascii="Calibri" w:hAnsi="Calibri"/>
                <w:b w:val="0"/>
                <w:i w:val="0"/>
                <w:sz w:val="19"/>
              </w:rPr>
              <w:t>Tanggal: ___________</w:t>
            </w:r>
          </w:p>
        </w:tc>
        <w:tc>
          <w:tcPr>
            <w:tcW w:type="dxa" w:w="2948"/>
          </w:tcPr>
          <w:p>
            <w:pPr>
              <w:spacing w:before="40" w:after="160"/>
              <w:jc w:val="center"/>
            </w:pPr>
            <w:r>
              <w:rPr>
                <w:rFonts w:ascii="Calibri" w:hAnsi="Calibri"/>
                <w:b w:val="0"/>
                <w:i w:val="0"/>
                <w:sz w:val="19"/>
              </w:rPr>
              <w:t>Tanggal: ___________</w:t>
            </w:r>
          </w:p>
        </w:tc>
        <w:tc>
          <w:tcPr>
            <w:tcW w:type="dxa" w:w="2948"/>
          </w:tcPr>
          <w:p>
            <w:pPr>
              <w:spacing w:before="40" w:after="160"/>
              <w:jc w:val="center"/>
            </w:pPr>
            <w:r>
              <w:rPr>
                <w:rFonts w:ascii="Calibri" w:hAnsi="Calibri"/>
                <w:b w:val="0"/>
                <w:i w:val="0"/>
                <w:sz w:val="19"/>
              </w:rPr>
              <w:t>Tanggal: ___________</w:t>
            </w:r>
          </w:p>
        </w:tc>
      </w:tr>
    </w:tbl>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2E74B5"/>
        <w:sz w:val="16"/>
      </w:rPr>
      <w:t xml:space="preserve">ELI-POL-ISMS-001 v1.0  |  PT Equity Life Indonesia  |  Maret 2026  |  Halaman </w:t>
    </w:r>
    <w:r>
      <w:rPr>
        <w:rFonts w:ascii="Calibri" w:hAnsi="Calibri"/>
        <w:b w:val="0"/>
        <w:i w:val="0"/>
        <w:color w:val="2E74B5"/>
        <w:sz w:val="16"/>
      </w:rPr>
      <w:fldChar w:fldCharType="begin"/>
      <w:instrText>PAGE</w:instrText>
      <w:fldChar w:fldCharType="end"/>
    </w:r>
    <w:r>
      <w:rPr>
        <w:rFonts w:ascii="Calibri" w:hAnsi="Calibri"/>
        <w:b w:val="0"/>
        <w:i w:val="0"/>
        <w:color w:val="2E74B5"/>
        <w:sz w:val="16"/>
      </w:rPr>
      <w:t xml:space="preserve"> dari </w:t>
    </w:r>
    <w:r>
      <w:rPr>
        <w:rFonts w:ascii="Calibri" w:hAnsi="Calibri"/>
        <w:b w:val="0"/>
        <w:i w:val="0"/>
        <w:color w:val="2E74B5"/>
        <w:sz w:val="16"/>
      </w:rPr>
      <w:fldChar w:fldCharType="begin"/>
      <w:instrText>NUMPAGES</w:instrText>
      <w:fldChar w:fldCharType="end"/>
    </w:r>
    <w:r>
      <w:rPr>
        <w:rFonts w:ascii="Calibri" w:hAnsi="Calibri"/>
        <w:b/>
        <w:i w:val="0"/>
        <w:color w:val="2E74B5"/>
        <w:sz w:val="16"/>
      </w:rPr>
      <w:t xml:space="preserve">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