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36" w:space="1" w:color="1F3564"/>
        </w:pBdr>
      </w:pPr>
    </w:p>
    <w:p/>
    <w:p>
      <w:pPr>
        <w:spacing w:before="400" w:after="80"/>
        <w:jc w:val="center"/>
      </w:pPr>
      <w:r>
        <w:rPr>
          <w:rFonts w:ascii="Calibri" w:hAnsi="Calibri"/>
          <w:b/>
          <w:i w:val="0"/>
          <w:color w:val="1F3564"/>
          <w:sz w:val="32"/>
        </w:rPr>
        <w:t>PT EQUITY LIFE INDONESIA</w:t>
      </w:r>
    </w:p>
    <w:p>
      <w:pPr>
        <w:spacing w:before="40" w:after="560"/>
        <w:jc w:val="center"/>
      </w:pPr>
      <w:r>
        <w:rPr>
          <w:rFonts w:ascii="Calibri" w:hAnsi="Calibri"/>
          <w:b w:val="0"/>
          <w:i/>
          <w:color w:val="2E74B5"/>
          <w:sz w:val="24"/>
        </w:rPr>
        <w:t>Information Security Management System (ISMS)</w:t>
      </w:r>
    </w:p>
    <w:p>
      <w:pPr>
        <w:spacing w:before="200" w:after="80"/>
        <w:jc w:val="center"/>
      </w:pPr>
      <w:r>
        <w:rPr>
          <w:rFonts w:ascii="Calibri" w:hAnsi="Calibri"/>
          <w:b/>
          <w:i w:val="0"/>
          <w:color w:val="1F3564"/>
          <w:sz w:val="40"/>
        </w:rPr>
        <w:t>STANDAR OPERASIONAL PROSEDUR</w:t>
      </w:r>
    </w:p>
    <w:p>
      <w:pPr>
        <w:spacing w:before="40" w:after="80"/>
        <w:jc w:val="center"/>
      </w:pPr>
      <w:r>
        <w:rPr>
          <w:rFonts w:ascii="Calibri" w:hAnsi="Calibri"/>
          <w:b/>
          <w:i w:val="0"/>
          <w:color w:val="2E74B5"/>
          <w:sz w:val="52"/>
        </w:rPr>
        <w:t>RETENSI DOKUMEN</w:t>
      </w:r>
    </w:p>
    <w:p>
      <w:pPr>
        <w:spacing w:before="40" w:after="720"/>
        <w:jc w:val="center"/>
      </w:pPr>
      <w:r>
        <w:rPr>
          <w:rFonts w:ascii="Calibri" w:hAnsi="Calibri"/>
          <w:b w:val="0"/>
          <w:i/>
          <w:color w:val="2E74B5"/>
          <w:sz w:val="26"/>
        </w:rPr>
        <w:t>Document Retention Standard Operating Procedure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Nomor Dokumen</w:t>
            </w:r>
          </w:p>
        </w:tc>
        <w:tc>
          <w:tcPr>
            <w:tcW w:type="dxa" w:w="4819"/>
            <w:shd w:val="clear" w:color="auto" w:fill="F2F7FC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ELI-SOP-ISMS-001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Tanggal Berlaku</w:t>
            </w:r>
          </w:p>
        </w:tc>
        <w:tc>
          <w:tcPr>
            <w:tcW w:type="dxa" w:w="4819"/>
            <w:shd w:val="clear" w:color="auto" w:fill="F2F7FC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Maret 2026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Klasifikasi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Internal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Pemilik Proses</w:t>
            </w:r>
          </w:p>
        </w:tc>
        <w:tc>
          <w:tcPr>
            <w:tcW w:type="dxa" w:w="4819"/>
            <w:shd w:val="clear" w:color="auto" w:fill="F2F7FC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Departemen IT &amp; Information Security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Disetujui oleh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Direktur Utama</w:t>
            </w:r>
          </w:p>
        </w:tc>
      </w:tr>
      <w:tr>
        <w:tc>
          <w:tcPr>
            <w:tcW w:type="dxa" w:w="3118"/>
            <w:shd w:val="clear" w:color="auto" w:fill="1F3564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Referensi Policy</w:t>
            </w:r>
          </w:p>
        </w:tc>
        <w:tc>
          <w:tcPr>
            <w:tcW w:type="dxa" w:w="4819"/>
            <w:shd w:val="clear" w:color="auto" w:fill="F2F7FC"/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ELI-POL-ISMS-001 – Kebijakan Retensi Dokumen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2E74B5"/>
          <w:sz w:val="19"/>
        </w:rPr>
        <w:t>Sesuai dengan ISO/IEC 27001:2022 | Klausul 7.5 – Documented Information</w:t>
      </w:r>
    </w:p>
    <w:p/>
    <w:p>
      <w:pPr>
        <w:pBdr>
          <w:top w:val="single" w:sz="36" w:space="1" w:color="1F3564"/>
        </w:pBdr>
      </w:pPr>
    </w:p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RIWAYAT PERUBAHAN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</w:t>
            </w:r>
          </w:p>
        </w:tc>
        <w:tc>
          <w:tcPr>
            <w:tcW w:type="dxa" w:w="1417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Tanggal</w:t>
            </w:r>
          </w:p>
        </w:tc>
        <w:tc>
          <w:tcPr>
            <w:tcW w:type="dxa" w:w="1587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Diubah Oleh</w:t>
            </w:r>
          </w:p>
        </w:tc>
        <w:tc>
          <w:tcPr>
            <w:tcW w:type="dxa" w:w="3515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Deskripsi Perubahan</w:t>
            </w:r>
          </w:p>
        </w:tc>
        <w:tc>
          <w:tcPr>
            <w:tcW w:type="dxa" w:w="1417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Disetujui Oleh</w:t>
            </w:r>
          </w:p>
        </w:tc>
      </w:tr>
      <w:tr>
        <w:tc>
          <w:tcPr>
            <w:tcW w:type="dxa" w:w="850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417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Maret 2026</w:t>
            </w:r>
          </w:p>
        </w:tc>
        <w:tc>
          <w:tcPr>
            <w:tcW w:type="dxa" w:w="1587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Tim ISMS</w:t>
            </w:r>
          </w:p>
        </w:tc>
        <w:tc>
          <w:tcPr>
            <w:tcW w:type="dxa" w:w="351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Penerbitan pertama dokumen SOP</w:t>
            </w:r>
          </w:p>
        </w:tc>
        <w:tc>
          <w:tcPr>
            <w:tcW w:type="dxa" w:w="1417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Direktur Utama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1. TUJUAN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SOP ini menetapkan tata cara pengelolaan retensi dokumen di PT Equity Life Indonesia secara terstruktur dan terdokumentasi, sebagai penjabaran operasional dari Kebijakan Retensi Dokumen (ELI-POL-ISMS-001). SOP ini memastikan seluruh proses mulai dari pembuatan, klasifikasi, penyimpanan, review, hingga pemusnahan dokumen dilaksanakan secara konsisten, aman, dan patuh terhadap persyaratan ISO/IEC 27001:2022 serta regulasi yang berlaku bagi perusahaan asuransi jiwa di Indonesia.</w:t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2. RUANG LINGKUP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SOP ini mencakup seluruh proses pengelolaan dokumen yang meliputi: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Semua jenis dokumen dan rekaman (fisik maupun elektronik) yang dimiliki Perusahaan.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Seluruh divisi, departemen, dan unit kerja di PT Equity Life Indonesia.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Pihak ketiga yang mengelola dokumen Perusahaan berdasarkan perjanjian kontraktual.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Semua media penyimpanan yang digunakan oleh Perusahaan.</w:t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3. REFERENSI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ELI-POL-ISMS-001 – Kebijakan Retensi Dokumen PT Equity Life Indonesia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ISO/IEC 27001:2022 – Klausul 7.5 (Documented Information)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ISO/IEC 27002:2022 – Kontrol 5.28, 5.29, 5.33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UU No. 43 Tahun 2009 – Kearsipan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POJK No. 71/POJK.05/2016 – Penyelenggaraan Usaha Perusahaan Asuransi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UU No. 27 Tahun 2022 – Perlindungan Data Pribadi</w:t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4. DEFINISI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Istilah</w:t>
            </w:r>
          </w:p>
        </w:tc>
        <w:tc>
          <w:tcPr>
            <w:tcW w:type="dxa" w:w="5953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Definisi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DMS (Document Management System)</w:t>
            </w:r>
          </w:p>
        </w:tc>
        <w:tc>
          <w:tcPr>
            <w:tcW w:type="dxa" w:w="5953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Sistem elektronik untuk mengelola siklus hidup dokumen secara digital.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Masa Retensi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Jangka waktu minimum sebuah dokumen wajib disimpan sebelum dapat dimusnahkan.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Litigation Hold</w:t>
            </w:r>
          </w:p>
        </w:tc>
        <w:tc>
          <w:tcPr>
            <w:tcW w:type="dxa" w:w="5953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Instruksi resmi untuk menghentikan sementara pemusnahan dokumen terkait proses hukum.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Sanitasi Data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Proses penghapusan data digital secara permanen sehingga tidak dapat dipulihkan.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Berita Acara Pemusnahan</w:t>
            </w:r>
          </w:p>
        </w:tc>
        <w:tc>
          <w:tcPr>
            <w:tcW w:type="dxa" w:w="5953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Dokumen formal yang mencatat pelaksanaan pemusnahan dokumen, ditandatangani saksi.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Petugas yang ditunjuk di setiap unit kerja untuk mengelola dokumen unit kerjanya.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RBAC</w:t>
            </w:r>
          </w:p>
        </w:tc>
        <w:tc>
          <w:tcPr>
            <w:tcW w:type="dxa" w:w="5953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Role-Based Access Control – kontrol akses dokumen berbasis peran pengguna.</w:t>
            </w:r>
          </w:p>
        </w:tc>
      </w:tr>
    </w:tbl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5. PERAN DAN TANGGUNG JAWAB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6236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Tanggung Jawab dalam SOP ini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Karyawan / Pemilik Dokumen</w:t>
            </w:r>
          </w:p>
        </w:tc>
        <w:tc>
          <w:tcPr>
            <w:tcW w:type="dxa" w:w="6236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Membuat, mengklasifikasikan, dan menginput dokumen ke DMS sesuai prosedur.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Memverifikasi klasifikasi, memelihara inventaris, menjadwalkan review, dan mengoordinasikan pemusnahan.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Kepala Divisi / Manajer</w:t>
            </w:r>
          </w:p>
        </w:tc>
        <w:tc>
          <w:tcPr>
            <w:tcW w:type="dxa" w:w="6236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Menyetujui atau menolak pengajuan pemusnahan dokumen unit kerjanya.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Legal Department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Memeriksa status Litigation Hold dan menerbitkan/mencabut perintah hold.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Departemen IT &amp; Information Security</w:t>
            </w:r>
          </w:p>
        </w:tc>
        <w:tc>
          <w:tcPr>
            <w:tcW w:type="dxa" w:w="6236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Mengelola DMS, akses sistem, audit trail, dan melaksanakan sanitasi data digital.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6. PROSEDUR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6.1  Pembuatan dan Penerimaan Dokumen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Karyawan / Pemilik Dokumen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6.1.1  Langkah-langkah: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membuat dokumen baru atau menerima dokumen dari pihak internal/eksternal.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memastikan dokumen yang dibuat lengkap, akurat, dan sesuai format standar Perusahaan.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yang diterima dari pihak eksternal dicatat dalam log penerimaan dokumen.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mengidentifikasi jenis dan kategori dokumen berdasarkan Jadwal Retensi yang berlaku (lihat Lampiran A).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6.1.2  Kondisi Khusus: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yang diterima via email dicetak atau diunduh dan disimpan dalam DMS pada hari yang sama.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fisik dari luar yang bersifat rahasia harus langsung diserahkan kepada Koordinator Arsip untuk diregistrasikan.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6.2  Klasifikasi Dokumen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Karyawan / Pemilik Dokumen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6.2.1  Langkah-langkah: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menentukan tingkat klasifikasi dokumen: Rahasia, Terbatas, Internal, atau Publik, sesuai Kebijakan Retensi Dokumen (ELI-POL-ISMS-001 Pasal 5.2).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membubuhkan label klasifikasi pada dokumen fisik (stempel/cap) atau menandai metadata dokumen digital.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Untuk dokumen digital, label klasifikasi dimasukkan sebagai bagian dari metadata pada DMS.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Jika Karyawan ragu dalam menentukan klasifikasi, wajib berkonsultasi dengan Koordinator Arsip sebelum dokumen disimpan.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6.3  Registrasi dan Penyimpanan Dokumen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Karyawan → Koordinator Arsip → IT &amp; Information Security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6.3.1  Penyimpanan Dokumen Digital: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mengunggah dokumen ke DMS menggunakan akun yang telah terautentikasi (minimal autentikasi dua faktor untuk dokumen Rahasia).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Karyawan mengisi metadata wajib: judul dokumen, nomor dokumen, pemilik, divisi, tanggal dibuat, klasifikasi, dan kategori retensi.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Sistem DMS secara otomatis mencatat tanggal upload dan identitas pengunggah dalam audit trail.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memverifikasi kelengkapan metadata dan kebenaran klasifikasi dalam waktu 2 (dua) hari kerja.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Jika klasifikasi tidak sesuai, Koordinator Arsip mengembalikan dokumen kepada Karyawan disertai catatan perbaikan.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IT &amp; Information Security memastikan dokumen tersimpan di server yang sesuai dengan tingkat klasifikasinya (enkripsi AES-256 untuk klasifikasi Rahasia).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6.3.2  Penyimpanan Dokumen Fisik: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menerima dokumen fisik dan memberikan nomor registrasi unik.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fisik disimpan di lemari arsip/filing cabinet yang terkunci sesuai klasifikasinya.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Rahasia dan Terbatas disimpan di ruang arsip khusus dengan akses terbatas (key card/kunci).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mencatat dokumen dalam Daftar Inventaris Dokumen Fisik (Formulir ELI-FM-ISMS-001).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Kotak/folder arsip diberi label yang mencantumkan: kategori, tahun, nomor arsip, dan tanggal perkiraan pemusnahan.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6.4  Pemeliharaan dan Akses Dokumen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IT &amp; Information Security, Koordinator Arsip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IT &amp; Information Security melakukan backup data DMS secara harian (incremental) dan mingguan (full backup), dengan uji pemulihan (restore test) setiap triwulan.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Akses dokumen diberikan berdasarkan prinsip least privilege – hanya pengguna yang memerlukan untuk tugasnya.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Permintaan akses ke dokumen Rahasia harus mendapatkan persetujuan dari Kepala Divisi pemilik dokumen.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Log akses seluruh dokumen dimonitor oleh IT Security setiap bulan; anomali akses dilaporkan sebagai insiden keamanan informasi.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fisik yang dipinjam wajib dicatat dalam Buku Peminjaman Arsip (Formulir ELI-FM-ISMS-002) dan dikembalikan dalam 5 (lima) hari kerja.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Peminjaman dokumen Rahasia kepada pihak ketiga hanya diperbolehkan atas persetujuan tertulis dari Legal Department.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6.5  Review Tahunan Jadwal Retensi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Koordinator Arsip, IT &amp; Information Security, Legal Department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Waktu Pelaksanaan: Setiap tahun, pada bulan Januari.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Pada awal bulan Januari setiap tahun, IT &amp; Information Security mengirimkan notifikasi review kepada seluruh Koordinator Arsip.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di masing-masing unit kerja melakukan inventarisasi seluruh dokumen yang dikelolanya menggunakan Formulir ELI-FM-ISMS-003 (Daftar Review Retensi).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mengidentifikasi dokumen yang masa retensinya telah atau akan berakhir dalam tahun berjalan.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Legal Department memeriksa apakah terdapat dokumen yang diidentifikasi yang sedang dalam status Litigation Hold atau terkait proses hukum/investigasi aktif.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Untuk dokumen yang bebas dari Litigation Hold dan masa retensinya telah terlampaui, Koordinator Arsip menyiapkan Daftar Dokumen Usul Musnah (Formulir ELI-FM-ISMS-004).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Daftar tersebut diajukan kepada Kepala Divisi untuk mendapatkan persetujuan pemusnahan.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Hasil review tahunan didokumentasikan dalam Laporan Review Retensi dan dilaporkan kepada Departemen IT &amp; Information Security paling lambat akhir bulan Februari.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6.6  Pemusnahan Dokumen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IT &amp; Information Security (digital), Koordinator Arsip (fisik)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Prasyarat: Persetujuan tertulis dari Kepala Divisi dan konfirmasi bebas Litigation Hold dari Legal Department.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6.6.1  Pemusnahan Dokumen Digital: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IT &amp; Information Security menerima daftar dokumen yang disetujui untuk dimusnahkan.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Tim IT melakukan sanitasi data menggunakan metode yang memenuhi standar minimum DoD 5220.22-M (3-pass overwrite) atau metode yang setara.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Untuk media penyimpanan yang akan dibuang (hard drive, SSD, USB), dilakukan degaussing atau penghancuran fisik media.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Setiap file yang dihapus dicatat dalam log pemusnahan digital yang mencantumkan: nama file, lokasi, tanggal hapus, metode sanitasi, dan petugas pelaksana.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IT Security memastikan semua salinan backup dari dokumen yang dimusnahkan juga dihapus dalam siklus backup berikutnya.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6.6.2  Pemusnahan Dokumen Fisik: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menyiapkan dokumen fisik yang akan dimusnahkan sesuai daftar yang telah disetujui.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dengan klasifikasi Rahasia dan Terbatas dihancurkan menggunakan mesin shredder dengan standar minimum DIN 66399 P-4 (potongan partikel ≤ 160 mm²) atau dibakar di incinerator.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dengan klasifikasi Internal dan Publik dapat dihancurkan dengan shredder standar atau diserahkan kepada jasa daur ulang yang telah tersertifikasi dan menandatangani NDA.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Proses penghancuran disaksikan oleh minimal 2 (dua) orang: Koordinator Arsip dan 1 saksi dari unit kerja lain.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Sertifikat pemusnahan dari jasa daur ulang (bila digunakan) wajib disimpan sebagai bukti.</w:t>
      </w:r>
    </w:p>
    <w:p>
      <w:pPr>
        <w:spacing w:before="140" w:after="60"/>
      </w:pPr>
      <w:r>
        <w:rPr>
          <w:rFonts w:ascii="Calibri" w:hAnsi="Calibri"/>
          <w:b/>
          <w:i w:val="0"/>
          <w:color w:val="217346"/>
          <w:sz w:val="21"/>
        </w:rPr>
        <w:t>6.6.3  Dokumentasi Pemusnahan: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Koordinator Arsip menyusun Berita Acara Pemusnahan Dokumen (Formulir ELI-FM-ISMS-005) yang memuat: daftar dokumen yang dimusnahkan, metode pemusnahan, tanggal pelaksanaan, nama dan tanda tangan saksi.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Berita Acara ditandatangani oleh Koordinator Arsip, saksi pemusnahan, dan diketahui oleh Kepala Divisi.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Berita Acara disimpan secara permanen dalam DMS sebagai rekaman bukti pelaksanaan pemusnahan.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IT &amp; Information Security memperbarui inventaris DMS untuk mencerminkan dokumen yang telah dimusnahkan.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Laporan pemusnahan tahunan dilaporkan kepada Departemen IT &amp; Information Security dan Manajemen Risiko.</w:t>
      </w:r>
    </w:p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2"/>
        </w:rPr>
        <w:t>6.7  Penanganan Litigation Hold</w:t>
      </w:r>
    </w:p>
    <w:p>
      <w:pPr>
        <w:spacing w:before="60" w:after="60"/>
        <w:ind w:left="397"/>
        <w:jc w:val="both"/>
      </w:pPr>
      <w:r>
        <w:rPr>
          <w:rFonts w:ascii="Calibri" w:hAnsi="Calibri"/>
          <w:b w:val="0"/>
          <w:i w:val="0"/>
          <w:sz w:val="21"/>
        </w:rPr>
        <w:t>Penanggung Jawab: Legal Department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Legal Department menerbitkan Surat Perintah Litigation Hold (Formulir ELI-FM-ISMS-006) yang ditujukan kepada seluruh Koordinator Arsip dan IT &amp; Information Security terkait.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Surat Perintah mencantumkan: deskripsi kasus, jenis dokumen yang ditahan, periode cakupan, dan tanggal berlaku.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Seluruh pihak yang menerima Surat Perintah wajib merespons konfirmasi dalam 1 (satu) hari kerja.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Dokumen yang dikenakan Litigation Hold diberikan tanda khusus dalam DMS (status "Hold") dan dilarang dimusnahkan.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Legal Department melakukan review status Hold setiap 3 (tiga) bulan dan menerbitkan Surat Pencabutan Litigation Hold apabila sudah tidak diperlukan.</w:t>
      </w:r>
    </w:p>
    <w:p>
      <w:pPr>
        <w:pStyle w:val="ListNumber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Setelah Hold dicabut, dokumen kembali mengikuti jadwal retensi normal dan proses review dilanjutkan.</w:t>
      </w:r>
    </w:p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7. DIAGRAM ALUR PROSES (SWIMLANE)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Diagram berikut menggambarkan alur lengkap proses retensi dokumen berdasarkan peran dan tanggung jawab masing-masing pihak yang terlibat, sesuai dengan prosedur yang ditetapkan dalam SOP ini.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4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b w:val="0"/>
          <w:i/>
          <w:color w:val="2E74B5"/>
          <w:sz w:val="18"/>
        </w:rPr>
        <w:t>Gambar 1. Diagram Alur Swimlane – SOP Retensi Dokumen PT Equity Life Indonesia</w:t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8. FORMULIR DAN REKAMAN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Formulir yang digunakan dalam pelaksanaan SOP ini: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1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Kode Formulir</w:t>
            </w:r>
          </w:p>
        </w:tc>
        <w:tc>
          <w:tcPr>
            <w:tcW w:type="dxa" w:w="2835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Nama Formulir</w:t>
            </w:r>
          </w:p>
        </w:tc>
        <w:tc>
          <w:tcPr>
            <w:tcW w:type="dxa" w:w="1984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Penanggung Jawab</w:t>
            </w:r>
          </w:p>
        </w:tc>
        <w:tc>
          <w:tcPr>
            <w:tcW w:type="dxa" w:w="2098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Retensi Formulir</w:t>
            </w:r>
          </w:p>
        </w:tc>
      </w:tr>
      <w:tr>
        <w:tc>
          <w:tcPr>
            <w:tcW w:type="dxa" w:w="187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ELI-FM-ISMS-001</w:t>
            </w:r>
          </w:p>
        </w:tc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Daftar Inventaris Dokumen Fisik</w:t>
            </w:r>
          </w:p>
        </w:tc>
        <w:tc>
          <w:tcPr>
            <w:tcW w:type="dxa" w:w="198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209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Buku Peminjaman Arsip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3 tahun</w:t>
            </w:r>
          </w:p>
        </w:tc>
      </w:tr>
      <w:tr>
        <w:tc>
          <w:tcPr>
            <w:tcW w:type="dxa" w:w="187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ELI-FM-ISMS-003</w:t>
            </w:r>
          </w:p>
        </w:tc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Daftar Review Retensi Tahunan</w:t>
            </w:r>
          </w:p>
        </w:tc>
        <w:tc>
          <w:tcPr>
            <w:tcW w:type="dxa" w:w="198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 / IT</w:t>
            </w:r>
          </w:p>
        </w:tc>
        <w:tc>
          <w:tcPr>
            <w:tcW w:type="dxa" w:w="209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Daftar Dokumen Usul Musnah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</w:tr>
      <w:tr>
        <w:tc>
          <w:tcPr>
            <w:tcW w:type="dxa" w:w="187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ELI-FM-ISMS-005</w:t>
            </w:r>
          </w:p>
        </w:tc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Berita Acara Pemusnahan Dokumen</w:t>
            </w:r>
          </w:p>
        </w:tc>
        <w:tc>
          <w:tcPr>
            <w:tcW w:type="dxa" w:w="198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  <w:tc>
          <w:tcPr>
            <w:tcW w:type="dxa" w:w="209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Permanen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Surat Perintah Litigation Hold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Legal Department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 setelah kasus selesai</w:t>
            </w:r>
          </w:p>
        </w:tc>
      </w:tr>
      <w:tr>
        <w:tc>
          <w:tcPr>
            <w:tcW w:type="dxa" w:w="187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ELI-FM-ISMS-007</w:t>
            </w:r>
          </w:p>
        </w:tc>
        <w:tc>
          <w:tcPr>
            <w:tcW w:type="dxa" w:w="283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Log Pemusnahan Digital</w:t>
            </w:r>
          </w:p>
        </w:tc>
        <w:tc>
          <w:tcPr>
            <w:tcW w:type="dxa" w:w="198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Information Security</w:t>
            </w:r>
          </w:p>
        </w:tc>
        <w:tc>
          <w:tcPr>
            <w:tcW w:type="dxa" w:w="209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ELI-FM-ISMS-008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Laporan Review Retensi Tahunan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Information Security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</w:t>
            </w:r>
          </w:p>
        </w:tc>
      </w:tr>
    </w:tbl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9. INDIKATOR KINERJA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KPI</w:t>
            </w:r>
          </w:p>
        </w:tc>
        <w:tc>
          <w:tcPr>
            <w:tcW w:type="dxa" w:w="1304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1701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Frekuensi Pengukuran</w:t>
            </w:r>
          </w:p>
        </w:tc>
        <w:tc>
          <w:tcPr>
            <w:tcW w:type="dxa" w:w="2665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Penanggung Jawab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Tingkat kepatuhan klasifikasi dokumen</w:t>
            </w:r>
          </w:p>
        </w:tc>
        <w:tc>
          <w:tcPr>
            <w:tcW w:type="dxa" w:w="130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≥ 98%</w:t>
            </w:r>
          </w:p>
        </w:tc>
        <w:tc>
          <w:tcPr>
            <w:tcW w:type="dxa" w:w="170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Bulanan</w:t>
            </w:r>
          </w:p>
        </w:tc>
        <w:tc>
          <w:tcPr>
            <w:tcW w:type="dxa" w:w="266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Waktu verifikasi registrasi dokumen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≤ 2 hari kerja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Bulanan</w:t>
            </w:r>
          </w:p>
        </w:tc>
        <w:tc>
          <w:tcPr>
            <w:tcW w:type="dxa" w:w="266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Persentase dokumen yang dimusnah tepat waktu</w:t>
            </w:r>
          </w:p>
        </w:tc>
        <w:tc>
          <w:tcPr>
            <w:tcW w:type="dxa" w:w="130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≥ 95%</w:t>
            </w:r>
          </w:p>
        </w:tc>
        <w:tc>
          <w:tcPr>
            <w:tcW w:type="dxa" w:w="170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Tahunan</w:t>
            </w:r>
          </w:p>
        </w:tc>
        <w:tc>
          <w:tcPr>
            <w:tcW w:type="dxa" w:w="266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Berita Acara Pemusnahan tersedia untuk setiap pemusnahan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 kejadian</w:t>
            </w:r>
          </w:p>
        </w:tc>
        <w:tc>
          <w:tcPr>
            <w:tcW w:type="dxa" w:w="266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Koordinator Arsip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Dokumen terkena Litigation Hold teridentifikasi sebelum pemusnahan</w:t>
            </w:r>
          </w:p>
        </w:tc>
        <w:tc>
          <w:tcPr>
            <w:tcW w:type="dxa" w:w="130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0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 kejadian</w:t>
            </w:r>
          </w:p>
        </w:tc>
        <w:tc>
          <w:tcPr>
            <w:tcW w:type="dxa" w:w="266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Legal Dept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Keberhasilan restore backup DMS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Triwulan</w:t>
            </w:r>
          </w:p>
        </w:tc>
        <w:tc>
          <w:tcPr>
            <w:tcW w:type="dxa" w:w="2665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Kelengkapan review retensi tahunan</w:t>
            </w:r>
          </w:p>
        </w:tc>
        <w:tc>
          <w:tcPr>
            <w:tcW w:type="dxa" w:w="130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100% unit kerja</w:t>
            </w:r>
          </w:p>
        </w:tc>
        <w:tc>
          <w:tcPr>
            <w:tcW w:type="dxa" w:w="170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Tahunan</w:t>
            </w:r>
          </w:p>
        </w:tc>
        <w:tc>
          <w:tcPr>
            <w:tcW w:type="dxa" w:w="2665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</w:tr>
    </w:tbl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10. PENANGANAN KETIDAKSESUAIAN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Ketidaksesuaian dalam pelaksanaan SOP ini meliputi namun tidak terbatas pada: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Kesalahan atau ketidaklengkapan klasifikasi dokumen.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Penyimpanan dokumen di lokasi/sistem yang tidak sesuai.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Pemusnahan dokumen tanpa persetujuan yang sah.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Kegagalan backup atau pemulihan data.</w:t>
      </w:r>
    </w:p>
    <w:p>
      <w:pPr>
        <w:pStyle w:val="ListBullet"/>
        <w:spacing w:before="40" w:after="40"/>
        <w:ind w:left="397"/>
      </w:pPr>
      <w:r>
        <w:rPr>
          <w:rFonts w:ascii="Calibri" w:hAnsi="Calibri"/>
          <w:b w:val="0"/>
          <w:i w:val="0"/>
          <w:sz w:val="21"/>
        </w:rPr>
        <w:t>Pelanggaran akses terhadap dokumen rahasia.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Setiap ketidaksesuaian wajib dilaporkan oleh penemunya kepada Koordinator Arsip atau Departemen IT &amp; Information Security dalam waktu 1 (satu) hari kerja menggunakan mekanisme pelaporan insiden yang berlaku. Tindakan korektif didokumentasikan dan ditindaklanjuti sesuai Prosedur Penanganan Insiden Keamanan Informasi Perusahaan.</w:t>
      </w:r>
    </w:p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LAMPIRAN A – JADWAL RETENSI DOKUMEN (RINGKASAN)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Tabel berikut merupakan ringkasan Jadwal Retensi Dokumen yang berlaku. Untuk jadwal lengkap dan terkini, merujuk pada Kebijakan Retensi Dokumen (ELI-POL-ISMS-001 Pasal 5.3).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Kategori</w:t>
            </w:r>
          </w:p>
        </w:tc>
        <w:tc>
          <w:tcPr>
            <w:tcW w:type="dxa" w:w="2551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Sub-Kategori</w:t>
            </w:r>
          </w:p>
        </w:tc>
        <w:tc>
          <w:tcPr>
            <w:tcW w:type="dxa" w:w="1814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Periode Retensi</w:t>
            </w:r>
          </w:p>
        </w:tc>
        <w:tc>
          <w:tcPr>
            <w:tcW w:type="dxa" w:w="2608"/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Dasar Regulasi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Korporat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Akta, Anggaran Dasar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Permanen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PT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Korporat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Notulen Rapat Direksi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30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PT No.40/2007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Korporat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Laporan Keuangan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POJK 71/2016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Polis &amp; Klaim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Polis Asuransi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Aktif + 10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POJK 71/2016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Polis &amp; Klaim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Dokumen Klaim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POJK 71/2016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Data Nasabah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KYC/CDD Nasabah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 post-hubungan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TPPU, POJK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Data Nasabah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Data Pribadi Nasabah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 post-hubungan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PDP 27/2022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Keuangan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Bukti Transaksi / Voucher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Pajak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Keuangan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SPT Pajak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KUP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SDM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File Kepegawaian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Aktif + 10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UU 13/2003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Log Akses Sistem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3 tahun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ISO 27001, SEOJK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Log Insiden Keamanan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ISO 27001 A.5.28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IT &amp; InfoSec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Backup Data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 tahun (rolling)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Kebijakan IT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Kepatuhan &amp; Hukum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Izin Usaha, Sertifikasi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Permanen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POJK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Kepatuhan &amp; Hukum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Perjanjian/Kontrak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10 tahun post-kontrak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KUH Perdata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Operasional ISMS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SOP &amp; Kebijakan (versi lama)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5 tahun post-revisi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ISO 27001 Kl. 7.5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Operasional ISMS</w:t>
            </w:r>
          </w:p>
        </w:tc>
        <w:tc>
          <w:tcPr>
            <w:tcW w:type="dxa" w:w="2551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Berita Acara Pemusnahan</w:t>
            </w:r>
          </w:p>
        </w:tc>
        <w:tc>
          <w:tcPr>
            <w:tcW w:type="dxa" w:w="1814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Permanen</w:t>
            </w:r>
          </w:p>
        </w:tc>
        <w:tc>
          <w:tcPr>
            <w:tcW w:type="dxa" w:w="2608"/>
            <w:shd w:val="clear" w:color="auto" w:fill="F2F7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ISO 27001 Kl. 7.5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Operasional Umum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Korespondensi Umum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3 tahun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 w:val="0"/>
                <w:i w:val="0"/>
                <w:sz w:val="19"/>
              </w:rPr>
              <w:t>Pertimbangan Bisnis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left w:val="single" w:sz="24" w:space="8" w:color="2E74B5"/>
        </w:pBdr>
      </w:pPr>
      <w:r>
        <w:rPr>
          <w:rFonts w:ascii="Calibri" w:hAnsi="Calibri"/>
          <w:b/>
          <w:i w:val="0"/>
          <w:color w:val="1F3564"/>
          <w:sz w:val="26"/>
        </w:rPr>
        <w:t>PENGESAHAN SOP</w:t>
      </w:r>
    </w:p>
    <w:p>
      <w:pPr>
        <w:spacing w:before="60" w:after="60"/>
        <w:jc w:val="both"/>
      </w:pPr>
      <w:r>
        <w:rPr>
          <w:rFonts w:ascii="Calibri" w:hAnsi="Calibri"/>
          <w:b w:val="0"/>
          <w:i w:val="0"/>
          <w:sz w:val="21"/>
        </w:rPr>
        <w:t>SOP ini ditetapkan dan disahkan oleh Direksi PT Equity Life Indonesia.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color="auto" w:fill="1F3564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Disiapkan Oleh</w:t>
            </w:r>
          </w:p>
        </w:tc>
        <w:tc>
          <w:tcPr>
            <w:tcW w:type="dxa" w:w="2948"/>
            <w:shd w:val="clear" w:color="auto" w:fill="1F3564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Diperiksa Oleh</w:t>
            </w:r>
          </w:p>
        </w:tc>
        <w:tc>
          <w:tcPr>
            <w:tcW w:type="dxa" w:w="2948"/>
            <w:shd w:val="clear" w:color="auto" w:fill="1F3564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Disetujui Oleh</w:t>
            </w:r>
          </w:p>
        </w:tc>
      </w:tr>
      <w:tr>
        <w:tc>
          <w:tcPr>
            <w:tcW w:type="dxa" w:w="2948"/>
          </w:tcPr>
          <w:p>
            <w:pPr>
              <w:spacing w:before="960" w:after="80"/>
            </w:pPr>
          </w:p>
        </w:tc>
        <w:tc>
          <w:tcPr>
            <w:tcW w:type="dxa" w:w="2948"/>
          </w:tcPr>
          <w:p>
            <w:pPr>
              <w:spacing w:before="960" w:after="80"/>
            </w:pPr>
          </w:p>
        </w:tc>
        <w:tc>
          <w:tcPr>
            <w:tcW w:type="dxa" w:w="2948"/>
          </w:tcPr>
          <w:p>
            <w:pPr>
              <w:spacing w:before="960" w:after="80"/>
            </w:pPr>
          </w:p>
        </w:tc>
      </w:tr>
      <w:tr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_______________________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_______________________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_______________________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19"/>
              </w:rPr>
              <w:t>Kepala Dept. IT &amp;</w:t>
              <w:br/>
              <w:t>Information Security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19"/>
              </w:rPr>
              <w:t>Chief Risk Officer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19"/>
              </w:rPr>
              <w:t>Direktur Utama</w:t>
            </w:r>
          </w:p>
        </w:tc>
      </w:tr>
      <w:tr>
        <w:tc>
          <w:tcPr>
            <w:tcW w:type="dxa" w:w="2948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Tanggal: ___________</w:t>
            </w:r>
          </w:p>
        </w:tc>
        <w:tc>
          <w:tcPr>
            <w:tcW w:type="dxa" w:w="2948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Tanggal: ___________</w:t>
            </w:r>
          </w:p>
        </w:tc>
        <w:tc>
          <w:tcPr>
            <w:tcW w:type="dxa" w:w="2948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Tanggal: ___________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2E74B5"/>
        <w:sz w:val="16"/>
      </w:rPr>
      <w:t xml:space="preserve">ELI-SOP-ISMS-001 v1.0  |  PT Equity Life Indonesia  |  Maret 2026  |  Halaman </w:t>
    </w:r>
    <w:r>
      <w:rPr>
        <w:rFonts w:ascii="Calibri" w:hAnsi="Calibri"/>
        <w:b w:val="0"/>
        <w:i w:val="0"/>
        <w:color w:val="2E74B5"/>
        <w:sz w:val="16"/>
      </w:rPr>
      <w:fldChar w:fldCharType="begin"/>
      <w:instrText>PAGE</w:instrText>
      <w:fldChar w:fldCharType="end"/>
    </w:r>
    <w:r>
      <w:rPr>
        <w:rFonts w:ascii="Calibri" w:hAnsi="Calibri"/>
        <w:b w:val="0"/>
        <w:i w:val="0"/>
        <w:color w:val="2E74B5"/>
        <w:sz w:val="16"/>
      </w:rPr>
      <w:t xml:space="preserve"> dari </w:t>
    </w:r>
    <w:r>
      <w:rPr>
        <w:rFonts w:ascii="Calibri" w:hAnsi="Calibri"/>
        <w:b w:val="0"/>
        <w:i w:val="0"/>
        <w:color w:val="2E74B5"/>
        <w:sz w:val="16"/>
      </w:rPr>
      <w:fldChar w:fldCharType="begin"/>
      <w:instrText>NUMPAGES</w:instrText>
      <w:fldChar w:fldCharType="end"/>
    </w:r>
    <w:r>
      <w:rPr>
        <w:rFonts w:ascii="Calibri" w:hAnsi="Calibri"/>
        <w:b/>
        <w:i w:val="0"/>
        <w:color w:val="2E74B5"/>
        <w:sz w:val="16"/>
      </w:rPr>
      <w:t xml:space="preserve">  | 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