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000"/>
        <w:gridCol w:w="19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 Dokumen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ELI-ISMS-DOC-003</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1.0</w:t>
            </w:r>
          </w:p>
        </w:tc>
      </w:tr>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Judul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Risk Assessment Methodology</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Maret 2026</w:t>
            </w:r>
          </w:p>
        </w:tc>
      </w:tr>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Klasifikasi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Internal</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PIC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IT Security, Risk Mgmt</w:t>
            </w:r>
          </w:p>
        </w:tc>
      </w:tr>
    </w:tbl>
    <w:p>
      <w:pPr>
        <w:spacing w:after="200"/>
      </w:pPr>
    </w:p>
    <w:p>
      <w:pPr>
        <w:pStyle w:val="Heading1"/>
      </w:pPr>
      <w:r>
        <w:t xml:space="preserve">1. Tujuan</w:t>
      </w:r>
    </w:p>
    <w:p>
      <w:pPr>
        <w:spacing w:after="200"/>
      </w:pPr>
      <w:r>
        <w:t xml:space="preserve">Dokumen ini menetapkan metodologi penilaian risiko keamanan informasi PT Equity Life Indonesia sesuai ISO/IEC 27001:2022 Clause 6.1.1, 6.1.2, dan 6.1.3. Metodologi ini memastikan penilaian risiko dilakukan secara konsisten, terstruktur, dan menghasilkan hasil yang comparable setiap periode.</w:t>
      </w:r>
    </w:p>
    <w:p>
      <w:pPr>
        <w:pStyle w:val="Heading1"/>
      </w:pPr>
      <w:r>
        <w:t xml:space="preserve">2. Ruang Lingkup</w:t>
      </w:r>
    </w:p>
    <w:p>
      <w:pPr>
        <w:spacing w:after="200"/>
      </w:pPr>
      <w:r>
        <w:t xml:space="preserve">Metodologi ini berlaku untuk seluruh penilaian risiko keamanan informasi pada aset, proses bisnis, dan layanan dalam ruang lingkup ISMS PT Equity Life Indonesia, baik risiko IT maupun risiko proses bisnis non-IT.</w:t>
      </w:r>
    </w:p>
    <w:p>
      <w:pPr>
        <w:pStyle w:val="Heading1"/>
      </w:pPr>
      <w:r>
        <w:t xml:space="preserve">3. Pendekatan Penilaian Risiko</w:t>
      </w:r>
    </w:p>
    <w:p>
      <w:pPr>
        <w:pStyle w:val="Heading2"/>
      </w:pPr>
      <w:r>
        <w:t xml:space="preserve">3.1 Metode yang Digunakan</w:t>
      </w:r>
    </w:p>
    <w:p>
      <w:pPr>
        <w:spacing w:after="100"/>
      </w:pPr>
      <w:r>
        <w:t xml:space="preserve">PT Equity Life Indonesia menggunakan pendekatan penilaian risiko berbasis aset (asset-based risk assessment) yang dikombinasikan dengan analisis ancaman dan kerentanan:</w:t>
      </w:r>
    </w:p>
    <w:p>
      <w:pPr>
        <w:pStyle w:val="ListParagraph"/>
        <w:numPr>
          <w:ilvl w:val="0"/>
          <w:numId w:val="2"/>
        </w:numPr>
        <w:spacing w:after="80"/>
      </w:pPr>
      <w:r>
        <w:t xml:space="preserve">Identifikasi aset informasi dan pemilik aset (asset owner)</w:t>
      </w:r>
    </w:p>
    <w:p>
      <w:pPr>
        <w:pStyle w:val="ListParagraph"/>
        <w:numPr>
          <w:ilvl w:val="0"/>
          <w:numId w:val="2"/>
        </w:numPr>
        <w:spacing w:after="80"/>
      </w:pPr>
      <w:r>
        <w:t xml:space="preserve">Identifikasi ancaman (threat) dan kerentanan (vulnerability) untuk setiap aset</w:t>
      </w:r>
    </w:p>
    <w:p>
      <w:pPr>
        <w:pStyle w:val="ListParagraph"/>
        <w:numPr>
          <w:ilvl w:val="0"/>
          <w:numId w:val="2"/>
        </w:numPr>
        <w:spacing w:after="80"/>
      </w:pPr>
      <w:r>
        <w:t xml:space="preserve">Penilaian dampak (impact) dan kemungkinan kejadian (likelihood)</w:t>
      </w:r>
    </w:p>
    <w:p>
      <w:pPr>
        <w:pStyle w:val="ListParagraph"/>
        <w:numPr>
          <w:ilvl w:val="0"/>
          <w:numId w:val="2"/>
        </w:numPr>
        <w:spacing w:after="80"/>
      </w:pPr>
      <w:r>
        <w:t xml:space="preserve">Penghitungan tingkat risiko (risk level) = Likelihood x Impact</w:t>
      </w:r>
    </w:p>
    <w:p>
      <w:pPr>
        <w:pStyle w:val="ListParagraph"/>
        <w:numPr>
          <w:ilvl w:val="0"/>
          <w:numId w:val="2"/>
        </w:numPr>
        <w:spacing w:after="80"/>
      </w:pPr>
      <w:r>
        <w:t xml:space="preserve">Penentuan risk treatment berdasarkan risk acceptance criteria</w:t>
      </w:r>
    </w:p>
    <w:p>
      <w:pPr>
        <w:pStyle w:val="Heading2"/>
      </w:pPr>
      <w:r>
        <w:t xml:space="preserve">3.2 Kriteria Likelihood (Kemungkinan)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3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Nilai</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Frekuensi</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Sangat Rendah</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Hampir tidak pernah terjadi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&lt; 1 kali dalam 5 tahun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Rendah</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Jarang terjadi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 kali dalam 2-5 tahun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Sedang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Kadang terjadi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 kali dalam 1-2 tahun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Tinggi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Sering terjadi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Beberapa kali dalam setahun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Sangat Tinggi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Hampir pasti terjadi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&gt; 1 kali per bulan</w:t>
            </w:r>
          </w:p>
        </w:tc>
      </w:tr>
    </w:tbl>
    <w:p>
      <w:pPr>
        <w:spacing w:after="200"/>
      </w:pPr>
    </w:p>
    <w:p>
      <w:pPr>
        <w:pStyle w:val="Heading2"/>
      </w:pPr>
      <w:r>
        <w:t xml:space="preserve">3.3 Kriteria Impact (Dampak)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3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Nilai</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Dampak Finansial / Operasional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Sangat Rendah</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Dampak minimal, tidak mempengaruhi operasi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Kerugian &lt; Rp 50 juta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Rendah</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Gangguan minor, bisa diatasi segera</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Rp 50 - 250 juta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Sedang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Gangguan signifikan pada sebagian operasi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Rp 250 - 1.000 juta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Tinggi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Gangguan serius, operasi terganggu signifikan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Rp 1 - 5 miliar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Sangat Tinggi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Mengancam kelangsungan bisnis, sanksi regulator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&gt; Rp 5 miliar / sanksi OJK</w:t>
            </w:r>
          </w:p>
        </w:tc>
      </w:tr>
    </w:tbl>
    <w:p>
      <w:pPr>
        <w:spacing w:after="200"/>
      </w:pPr>
    </w:p>
    <w:p>
      <w:pPr>
        <w:pStyle w:val="Heading2"/>
      </w:pPr>
      <w:r>
        <w:t xml:space="preserve">3.4 Matriks Risiko (Risk Matrix) 5x5</w:t>
      </w:r>
    </w:p>
    <w:p>
      <w:pPr>
        <w:spacing w:after="100"/>
      </w:pPr>
      <w:r>
        <w:t xml:space="preserve">Risk Level = Likelihood x Impact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w:t>
            </w:r>
          </w:p>
        </w:tc>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 1-2</w:t>
            </w:r>
          </w:p>
        </w:tc>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 3</w:t>
            </w:r>
          </w:p>
        </w:tc>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 4</w:t>
            </w:r>
          </w:p>
        </w:tc>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 5</w:t>
            </w:r>
          </w:p>
        </w:tc>
      </w:tr>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 5</w:t>
            </w:r>
          </w:p>
        </w:tc>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jc w:val="center"/>
            </w:pPr>
            <w:r>
              <w:rPr>
                <w:rFonts w:ascii="Arial" w:cs="Arial" w:eastAsia="Arial" w:hAnsi="Arial"/>
                <w:b/>
                <w:bCs/>
                <w:sz w:val="20"/>
                <w:szCs w:val="20"/>
              </w:rPr>
              <w:t xml:space="preserve">MEDIUM (5-10)</w:t>
            </w:r>
          </w:p>
        </w:tc>
        <w:tc>
          <w:tcPr>
            <w:tcW w:type="dxa" w:w="1944"/>
            <w:tcBorders>
              <w:top w:val="single" w:color="999999" w:sz="1"/>
              <w:left w:val="single" w:color="999999" w:sz="1"/>
              <w:bottom w:val="single" w:color="999999" w:sz="1"/>
              <w:right w:val="single" w:color="999999" w:sz="1"/>
            </w:tcBorders>
            <w:shd w:fill="FFA500" w:val="clear"/>
            <w:tcMar>
              <w:top w:type="dxa" w:w="60"/>
              <w:left w:type="dxa" w:w="100"/>
              <w:bottom w:type="dxa" w:w="60"/>
              <w:right w:type="dxa" w:w="100"/>
            </w:tcMar>
          </w:tcPr>
          <w:p>
            <w:pPr>
              <w:jc w:val="center"/>
            </w:pPr>
            <w:r>
              <w:rPr>
                <w:rFonts w:ascii="Arial" w:cs="Arial" w:eastAsia="Arial" w:hAnsi="Arial"/>
                <w:b/>
                <w:bCs/>
                <w:sz w:val="20"/>
                <w:szCs w:val="20"/>
              </w:rPr>
              <w:t xml:space="preserve">HIGH (15)</w:t>
            </w:r>
          </w:p>
        </w:tc>
        <w:tc>
          <w:tcPr>
            <w:tcW w:type="dxa" w:w="1944"/>
            <w:tcBorders>
              <w:top w:val="single" w:color="999999" w:sz="1"/>
              <w:left w:val="single" w:color="999999" w:sz="1"/>
              <w:bottom w:val="single" w:color="999999" w:sz="1"/>
              <w:right w:val="single" w:color="999999" w:sz="1"/>
            </w:tcBorders>
            <w:shd w:fill="FF4444" w:val="clear"/>
            <w:tcMar>
              <w:top w:type="dxa" w:w="60"/>
              <w:left w:type="dxa" w:w="100"/>
              <w:bottom w:type="dxa" w:w="60"/>
              <w:right w:type="dxa" w:w="100"/>
            </w:tcMar>
          </w:tcPr>
          <w:p>
            <w:pPr>
              <w:jc w:val="center"/>
            </w:pPr>
            <w:r>
              <w:rPr>
                <w:rFonts w:ascii="Arial" w:cs="Arial" w:eastAsia="Arial" w:hAnsi="Arial"/>
                <w:b/>
                <w:bCs/>
                <w:sz w:val="20"/>
                <w:szCs w:val="20"/>
              </w:rPr>
              <w:t xml:space="preserve">CRITICAL (20)</w:t>
            </w:r>
          </w:p>
        </w:tc>
        <w:tc>
          <w:tcPr>
            <w:tcW w:type="dxa" w:w="1944"/>
            <w:tcBorders>
              <w:top w:val="single" w:color="999999" w:sz="1"/>
              <w:left w:val="single" w:color="999999" w:sz="1"/>
              <w:bottom w:val="single" w:color="999999" w:sz="1"/>
              <w:right w:val="single" w:color="999999" w:sz="1"/>
            </w:tcBorders>
            <w:shd w:fill="FF0000" w:val="clear"/>
            <w:tcMar>
              <w:top w:type="dxa" w:w="60"/>
              <w:left w:type="dxa" w:w="100"/>
              <w:bottom w:type="dxa" w:w="60"/>
              <w:right w:type="dxa" w:w="100"/>
            </w:tcMar>
          </w:tcPr>
          <w:p>
            <w:pPr>
              <w:jc w:val="center"/>
            </w:pPr>
            <w:r>
              <w:rPr>
                <w:rFonts w:ascii="Arial" w:cs="Arial" w:eastAsia="Arial" w:hAnsi="Arial"/>
                <w:b/>
                <w:bCs/>
                <w:sz w:val="20"/>
                <w:szCs w:val="20"/>
              </w:rPr>
              <w:t xml:space="preserve">CRITICAL (25)</w:t>
            </w:r>
          </w:p>
        </w:tc>
      </w:tr>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 4</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LOW-MED (4-8)</w:t>
            </w:r>
          </w:p>
        </w:tc>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jc w:val="center"/>
            </w:pPr>
            <w:r>
              <w:rPr>
                <w:rFonts w:ascii="Arial" w:cs="Arial" w:eastAsia="Arial" w:hAnsi="Arial"/>
                <w:b/>
                <w:bCs/>
                <w:sz w:val="20"/>
                <w:szCs w:val="20"/>
              </w:rPr>
              <w:t xml:space="preserve">MEDIUM (12)</w:t>
            </w:r>
          </w:p>
        </w:tc>
        <w:tc>
          <w:tcPr>
            <w:tcW w:type="dxa" w:w="1944"/>
            <w:tcBorders>
              <w:top w:val="single" w:color="999999" w:sz="1"/>
              <w:left w:val="single" w:color="999999" w:sz="1"/>
              <w:bottom w:val="single" w:color="999999" w:sz="1"/>
              <w:right w:val="single" w:color="999999" w:sz="1"/>
            </w:tcBorders>
            <w:shd w:fill="FFA500" w:val="clear"/>
            <w:tcMar>
              <w:top w:type="dxa" w:w="60"/>
              <w:left w:type="dxa" w:w="100"/>
              <w:bottom w:type="dxa" w:w="60"/>
              <w:right w:type="dxa" w:w="100"/>
            </w:tcMar>
          </w:tcPr>
          <w:p>
            <w:pPr>
              <w:jc w:val="center"/>
            </w:pPr>
            <w:r>
              <w:rPr>
                <w:rFonts w:ascii="Arial" w:cs="Arial" w:eastAsia="Arial" w:hAnsi="Arial"/>
                <w:b/>
                <w:bCs/>
                <w:sz w:val="20"/>
                <w:szCs w:val="20"/>
              </w:rPr>
              <w:t xml:space="preserve">HIGH (16)</w:t>
            </w:r>
          </w:p>
        </w:tc>
        <w:tc>
          <w:tcPr>
            <w:tcW w:type="dxa" w:w="1944"/>
            <w:tcBorders>
              <w:top w:val="single" w:color="999999" w:sz="1"/>
              <w:left w:val="single" w:color="999999" w:sz="1"/>
              <w:bottom w:val="single" w:color="999999" w:sz="1"/>
              <w:right w:val="single" w:color="999999" w:sz="1"/>
            </w:tcBorders>
            <w:shd w:fill="FF4444" w:val="clear"/>
            <w:tcMar>
              <w:top w:type="dxa" w:w="60"/>
              <w:left w:type="dxa" w:w="100"/>
              <w:bottom w:type="dxa" w:w="60"/>
              <w:right w:type="dxa" w:w="100"/>
            </w:tcMar>
          </w:tcPr>
          <w:p>
            <w:pPr>
              <w:jc w:val="center"/>
            </w:pPr>
            <w:r>
              <w:rPr>
                <w:rFonts w:ascii="Arial" w:cs="Arial" w:eastAsia="Arial" w:hAnsi="Arial"/>
                <w:b/>
                <w:bCs/>
                <w:sz w:val="20"/>
                <w:szCs w:val="20"/>
              </w:rPr>
              <w:t xml:space="preserve">CRITICAL (20)</w:t>
            </w:r>
          </w:p>
        </w:tc>
      </w:tr>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 3</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 (3-6)</w:t>
            </w:r>
          </w:p>
        </w:tc>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jc w:val="center"/>
            </w:pPr>
            <w:r>
              <w:rPr>
                <w:rFonts w:ascii="Arial" w:cs="Arial" w:eastAsia="Arial" w:hAnsi="Arial"/>
                <w:b/>
                <w:bCs/>
                <w:sz w:val="20"/>
                <w:szCs w:val="20"/>
              </w:rPr>
              <w:t xml:space="preserve">MEDIUM (9)</w:t>
            </w:r>
          </w:p>
        </w:tc>
        <w:tc>
          <w:tcPr>
            <w:tcW w:type="dxa" w:w="1944"/>
            <w:tcBorders>
              <w:top w:val="single" w:color="999999" w:sz="1"/>
              <w:left w:val="single" w:color="999999" w:sz="1"/>
              <w:bottom w:val="single" w:color="999999" w:sz="1"/>
              <w:right w:val="single" w:color="999999" w:sz="1"/>
            </w:tcBorders>
            <w:shd w:fill="FFA500" w:val="clear"/>
            <w:tcMar>
              <w:top w:type="dxa" w:w="60"/>
              <w:left w:type="dxa" w:w="100"/>
              <w:bottom w:type="dxa" w:w="60"/>
              <w:right w:type="dxa" w:w="100"/>
            </w:tcMar>
          </w:tcPr>
          <w:p>
            <w:pPr>
              <w:jc w:val="center"/>
            </w:pPr>
            <w:r>
              <w:rPr>
                <w:rFonts w:ascii="Arial" w:cs="Arial" w:eastAsia="Arial" w:hAnsi="Arial"/>
                <w:b/>
                <w:bCs/>
                <w:sz w:val="20"/>
                <w:szCs w:val="20"/>
              </w:rPr>
              <w:t xml:space="preserve">HIGH (12)</w:t>
            </w:r>
          </w:p>
        </w:tc>
        <w:tc>
          <w:tcPr>
            <w:tcW w:type="dxa" w:w="1944"/>
            <w:tcBorders>
              <w:top w:val="single" w:color="999999" w:sz="1"/>
              <w:left w:val="single" w:color="999999" w:sz="1"/>
              <w:bottom w:val="single" w:color="999999" w:sz="1"/>
              <w:right w:val="single" w:color="999999" w:sz="1"/>
            </w:tcBorders>
            <w:shd w:fill="FFA500" w:val="clear"/>
            <w:tcMar>
              <w:top w:type="dxa" w:w="60"/>
              <w:left w:type="dxa" w:w="100"/>
              <w:bottom w:type="dxa" w:w="60"/>
              <w:right w:type="dxa" w:w="100"/>
            </w:tcMar>
          </w:tcPr>
          <w:p>
            <w:pPr>
              <w:jc w:val="center"/>
            </w:pPr>
            <w:r>
              <w:rPr>
                <w:rFonts w:ascii="Arial" w:cs="Arial" w:eastAsia="Arial" w:hAnsi="Arial"/>
                <w:b/>
                <w:bCs/>
                <w:sz w:val="20"/>
                <w:szCs w:val="20"/>
              </w:rPr>
              <w:t xml:space="preserve">HIGH (15)</w:t>
            </w:r>
          </w:p>
        </w:tc>
      </w:tr>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 2</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 (2-4)</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LOW-MED (6)</w:t>
            </w:r>
          </w:p>
        </w:tc>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jc w:val="center"/>
            </w:pPr>
            <w:r>
              <w:rPr>
                <w:rFonts w:ascii="Arial" w:cs="Arial" w:eastAsia="Arial" w:hAnsi="Arial"/>
                <w:b/>
                <w:bCs/>
                <w:sz w:val="20"/>
                <w:szCs w:val="20"/>
              </w:rPr>
              <w:t xml:space="preserve">MEDIUM (8)</w:t>
            </w:r>
          </w:p>
        </w:tc>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jc w:val="center"/>
            </w:pPr>
            <w:r>
              <w:rPr>
                <w:rFonts w:ascii="Arial" w:cs="Arial" w:eastAsia="Arial" w:hAnsi="Arial"/>
                <w:b/>
                <w:bCs/>
                <w:sz w:val="20"/>
                <w:szCs w:val="20"/>
              </w:rPr>
              <w:t xml:space="preserve">MEDIUM (10)</w:t>
            </w:r>
          </w:p>
        </w:tc>
      </w:tr>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 1</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 (1-2)</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 (3)</w:t>
            </w:r>
          </w:p>
        </w:tc>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jc w:val="center"/>
            </w:pPr>
            <w:r>
              <w:rPr>
                <w:rFonts w:ascii="Arial" w:cs="Arial" w:eastAsia="Arial" w:hAnsi="Arial"/>
                <w:b/>
                <w:bCs/>
                <w:sz w:val="20"/>
                <w:szCs w:val="20"/>
              </w:rPr>
              <w:t xml:space="preserve">LOW-MED (4)</w:t>
            </w:r>
          </w:p>
        </w:tc>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jc w:val="center"/>
            </w:pPr>
            <w:r>
              <w:rPr>
                <w:rFonts w:ascii="Arial" w:cs="Arial" w:eastAsia="Arial" w:hAnsi="Arial"/>
                <w:b/>
                <w:bCs/>
                <w:sz w:val="20"/>
                <w:szCs w:val="20"/>
              </w:rPr>
              <w:t xml:space="preserve">MEDIUM (5)</w:t>
            </w:r>
          </w:p>
        </w:tc>
      </w:tr>
    </w:tbl>
    <w:p>
      <w:pPr>
        <w:spacing w:after="200"/>
      </w:pPr>
    </w:p>
    <w:p>
      <w:pPr>
        <w:pStyle w:val="Heading2"/>
      </w:pPr>
      <w:r>
        <w:t xml:space="preserve">3.5 Risk 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2916"/>
        <w:gridCol w:w="2916"/>
      </w:tblGrid>
      <w:tr>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c>
          <w:tcPr>
            <w:tcW w:type="dxa" w:w="194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Skor</w:t>
            </w:r>
          </w:p>
        </w:tc>
        <w:tc>
          <w:tcPr>
            <w:tcW w:type="dxa" w:w="291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Keputusan</w:t>
            </w:r>
          </w:p>
        </w:tc>
        <w:tc>
          <w:tcPr>
            <w:tcW w:type="dxa" w:w="291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Tindakan</w:t>
            </w:r>
          </w:p>
        </w:tc>
      </w:tr>
      <w:tr>
        <w:tc>
          <w:tcPr>
            <w:tcW w:type="dxa" w:w="1944"/>
            <w:tcBorders>
              <w:top w:val="single" w:color="999999" w:sz="1"/>
              <w:left w:val="single" w:color="999999" w:sz="1"/>
              <w:bottom w:val="single" w:color="999999" w:sz="1"/>
              <w:right w:val="single" w:color="999999" w:sz="1"/>
            </w:tcBorders>
            <w:shd w:fill="90EE90" w:val="clear"/>
            <w:tcMar>
              <w:top w:type="dxa" w:w="60"/>
              <w:left w:type="dxa" w:w="100"/>
              <w:bottom w:type="dxa" w:w="60"/>
              <w:right w:type="dxa" w:w="100"/>
            </w:tcMar>
          </w:tcPr>
          <w:p>
            <w:pPr>
              <w:spacing w:after="60"/>
            </w:pPr>
            <w:r>
              <w:rPr>
                <w:rFonts w:ascii="Arial" w:cs="Arial" w:eastAsia="Arial" w:hAnsi="Arial"/>
                <w:sz w:val="20"/>
                <w:szCs w:val="20"/>
              </w:rPr>
              <w:t xml:space="preserve">LOW</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1-4</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Diterima (Accepted)</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Monitor berkala, tidak perlu treatment tambahan</w:t>
            </w:r>
          </w:p>
        </w:tc>
      </w:tr>
      <w:tr>
        <w:tc>
          <w:tcPr>
            <w:tcW w:type="dxa" w:w="1944"/>
            <w:tcBorders>
              <w:top w:val="single" w:color="999999" w:sz="1"/>
              <w:left w:val="single" w:color="999999" w:sz="1"/>
              <w:bottom w:val="single" w:color="999999" w:sz="1"/>
              <w:right w:val="single" w:color="999999" w:sz="1"/>
            </w:tcBorders>
            <w:shd w:fill="FFFF00" w:val="clear"/>
            <w:tcMar>
              <w:top w:type="dxa" w:w="60"/>
              <w:left w:type="dxa" w:w="100"/>
              <w:bottom w:type="dxa" w:w="60"/>
              <w:right w:type="dxa" w:w="100"/>
            </w:tcMar>
          </w:tcPr>
          <w:p>
            <w:pPr>
              <w:spacing w:after="60"/>
            </w:pPr>
            <w:r>
              <w:rPr>
                <w:rFonts w:ascii="Arial" w:cs="Arial" w:eastAsia="Arial" w:hAnsi="Arial"/>
                <w:sz w:val="20"/>
                <w:szCs w:val="20"/>
              </w:rPr>
              <w:t xml:space="preserve">MEDIUM</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5-10</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Perlu perhatian</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Risk treatment dalam 6 bulan, mitigasi kontrol</w:t>
            </w:r>
          </w:p>
        </w:tc>
      </w:tr>
      <w:tr>
        <w:tc>
          <w:tcPr>
            <w:tcW w:type="dxa" w:w="1944"/>
            <w:tcBorders>
              <w:top w:val="single" w:color="999999" w:sz="1"/>
              <w:left w:val="single" w:color="999999" w:sz="1"/>
              <w:bottom w:val="single" w:color="999999" w:sz="1"/>
              <w:right w:val="single" w:color="999999" w:sz="1"/>
            </w:tcBorders>
            <w:shd w:fill="FFA500" w:val="clear"/>
            <w:tcMar>
              <w:top w:type="dxa" w:w="60"/>
              <w:left w:type="dxa" w:w="100"/>
              <w:bottom w:type="dxa" w:w="60"/>
              <w:right w:type="dxa" w:w="100"/>
            </w:tcMar>
          </w:tcPr>
          <w:p>
            <w:pPr>
              <w:spacing w:after="60"/>
            </w:pPr>
            <w:r>
              <w:rPr>
                <w:rFonts w:ascii="Arial" w:cs="Arial" w:eastAsia="Arial" w:hAnsi="Arial"/>
                <w:sz w:val="20"/>
                <w:szCs w:val="20"/>
              </w:rPr>
              <w:t xml:space="preserve">HIGH</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12-16</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Tidak diterima</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Risk treatment dalam 3 bulan, eskalasi ke management</w:t>
            </w:r>
          </w:p>
        </w:tc>
      </w:tr>
      <w:tr>
        <w:tc>
          <w:tcPr>
            <w:tcW w:type="dxa" w:w="1944"/>
            <w:tcBorders>
              <w:top w:val="single" w:color="999999" w:sz="1"/>
              <w:left w:val="single" w:color="999999" w:sz="1"/>
              <w:bottom w:val="single" w:color="999999" w:sz="1"/>
              <w:right w:val="single" w:color="999999" w:sz="1"/>
            </w:tcBorders>
            <w:shd w:fill="FF4444" w:val="clear"/>
            <w:tcMar>
              <w:top w:type="dxa" w:w="60"/>
              <w:left w:type="dxa" w:w="100"/>
              <w:bottom w:type="dxa" w:w="60"/>
              <w:right w:type="dxa" w:w="100"/>
            </w:tcMar>
          </w:tcPr>
          <w:p>
            <w:pPr>
              <w:spacing w:after="60"/>
            </w:pPr>
            <w:r>
              <w:rPr>
                <w:rFonts w:ascii="Arial" w:cs="Arial" w:eastAsia="Arial" w:hAnsi="Arial"/>
                <w:sz w:val="20"/>
                <w:szCs w:val="20"/>
              </w:rPr>
              <w:t xml:space="preserve">CRITICAL</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20-25</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Tidak diterima</w:t>
            </w:r>
          </w:p>
        </w:tc>
        <w:tc>
          <w:tcPr>
            <w:tcW w:type="dxa" w:w="291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Treatment segera (&lt; 1 bulan), eskalasi ke Top Management</w:t>
            </w:r>
          </w:p>
        </w:tc>
      </w:tr>
    </w:tbl>
    <w:p>
      <w:pPr>
        <w:spacing w:after="200"/>
      </w:pPr>
    </w:p>
    <w:p>
      <w:pPr>
        <w:pStyle w:val="Heading1"/>
      </w:pPr>
      <w:r>
        <w:t xml:space="preserve">4. Proses Penilaian Risiko</w:t>
      </w:r>
    </w:p>
    <w:p>
      <w:pPr>
        <w:pStyle w:val="ListParagraph"/>
        <w:numPr>
          <w:ilvl w:val="0"/>
          <w:numId w:val="2"/>
        </w:numPr>
        <w:spacing w:after="100"/>
      </w:pPr>
      <w:r>
        <w:t xml:space="preserve">Identifikasi Aset: inventarisasi aset informasi, penentuan asset owner dan nilai aset (confidentiality, integrity, availability)</w:t>
      </w:r>
    </w:p>
    <w:p>
      <w:pPr>
        <w:pStyle w:val="ListParagraph"/>
        <w:numPr>
          <w:ilvl w:val="0"/>
          <w:numId w:val="2"/>
        </w:numPr>
        <w:spacing w:after="100"/>
      </w:pPr>
      <w:r>
        <w:t xml:space="preserve">Identifikasi Ancaman &amp; Kerentanan: identifikasi threat-vulnerability pair untuk setiap aset menggunakan referensi (NIST, OWASP, threat intelligence)</w:t>
      </w:r>
    </w:p>
    <w:p>
      <w:pPr>
        <w:pStyle w:val="ListParagraph"/>
        <w:numPr>
          <w:ilvl w:val="0"/>
          <w:numId w:val="2"/>
        </w:numPr>
        <w:spacing w:after="100"/>
      </w:pPr>
      <w:r>
        <w:t xml:space="preserve">Penilaian Likelihood &amp; Impact: penilaian oleh asset owner dan IT Security berdasarkan kriteria di atas</w:t>
      </w:r>
    </w:p>
    <w:p>
      <w:pPr>
        <w:pStyle w:val="ListParagraph"/>
        <w:numPr>
          <w:ilvl w:val="0"/>
          <w:numId w:val="2"/>
        </w:numPr>
        <w:spacing w:after="100"/>
      </w:pPr>
      <w:r>
        <w:t xml:space="preserve">Kalkulasi Risk Level: Likelihood x Impact, mapping ke risk matrix</w:t>
      </w:r>
    </w:p>
    <w:p>
      <w:pPr>
        <w:pStyle w:val="ListParagraph"/>
        <w:numPr>
          <w:ilvl w:val="0"/>
          <w:numId w:val="2"/>
        </w:numPr>
        <w:spacing w:after="100"/>
      </w:pPr>
      <w:r>
        <w:t xml:space="preserve">Risk Treatment Decision: accept, mitigate, transfer, atau avoid berdasarkan risk acceptance criteria</w:t>
      </w:r>
    </w:p>
    <w:p>
      <w:pPr>
        <w:pStyle w:val="ListParagraph"/>
        <w:numPr>
          <w:ilvl w:val="0"/>
          <w:numId w:val="2"/>
        </w:numPr>
        <w:spacing w:after="100"/>
      </w:pPr>
      <w:r>
        <w:t xml:space="preserve">Dokumentasi: pencatatan di Risk Register, pembuatan Risk Treatment Plan untuk risiko yang tidak diterima</w:t>
      </w:r>
    </w:p>
    <w:p>
      <w:pPr>
        <w:pStyle w:val="ListParagraph"/>
        <w:numPr>
          <w:ilvl w:val="0"/>
          <w:numId w:val="2"/>
        </w:numPr>
        <w:spacing w:after="100"/>
      </w:pPr>
      <w:r>
        <w:t xml:space="preserve">Review &amp; Update: penilaian ulang minimal 1x per tahun atau saat terjadi perubahan signifikan</w:t>
      </w:r>
    </w:p>
    <w:p>
      <w:pPr>
        <w:pStyle w:val="Heading1"/>
      </w:pPr>
      <w:r>
        <w:t xml:space="preserve">5. Frekuensi &amp; Trigger Penilaian Risiko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64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Keterangan</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Periodik (Annual)</w:t>
            </w:r>
          </w:p>
        </w:tc>
        <w:tc>
          <w:tcPr>
            <w:tcW w:type="dxa" w:w="6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Minimal 1x per tahun untuk seluruh ruang lingkup ISMS</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Insiden Keamanan</w:t>
            </w:r>
          </w:p>
        </w:tc>
        <w:tc>
          <w:tcPr>
            <w:tcW w:type="dxa" w:w="6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Setelah terjadi insiden keamanan informasi signifikan</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Perubahan Organisasi</w:t>
            </w:r>
          </w:p>
        </w:tc>
        <w:tc>
          <w:tcPr>
            <w:tcW w:type="dxa" w:w="6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Perubahan struktur organisasi, proses bisnis, atau teknologi</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Perubahan Regulasi</w:t>
            </w:r>
          </w:p>
        </w:tc>
        <w:tc>
          <w:tcPr>
            <w:tcW w:type="dxa" w:w="6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Terbit regulasi baru dari OJK atau regulasi terkait (UU PDP, dll)</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Hasil Audit</w:t>
            </w:r>
          </w:p>
        </w:tc>
        <w:tc>
          <w:tcPr>
            <w:tcW w:type="dxa" w:w="6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Temuan audit internal/eksternal yang memerlukan re-assessment</w:t>
            </w:r>
          </w:p>
        </w:tc>
      </w:tr>
    </w:tbl>
    <w:p>
      <w:pPr>
        <w:spacing w:after="200"/>
      </w:pPr>
    </w:p>
    <w:p>
      <w:pPr>
        <w:pStyle w:val="Heading1"/>
      </w:pPr>
      <w:r>
        <w:t xml:space="preserve">6. Referensi</w:t>
      </w:r>
    </w:p>
    <w:p>
      <w:pPr>
        <w:pStyle w:val="ListParagraph"/>
        <w:numPr>
          <w:ilvl w:val="0"/>
          <w:numId w:val="3"/>
        </w:numPr>
        <w:spacing w:after="80"/>
      </w:pPr>
      <w:r>
        <w:t xml:space="preserve">ISO/IEC 27001:2022 Clause 6.1.1, 6.1.2, 6.1.3</w:t>
      </w:r>
    </w:p>
    <w:p>
      <w:pPr>
        <w:pStyle w:val="ListParagraph"/>
        <w:numPr>
          <w:ilvl w:val="0"/>
          <w:numId w:val="3"/>
        </w:numPr>
        <w:spacing w:after="80"/>
      </w:pPr>
      <w:r>
        <w:t xml:space="preserve">ISO/IEC 27005:2022 (Risk Management)</w:t>
      </w:r>
    </w:p>
    <w:p>
      <w:pPr>
        <w:pStyle w:val="ListParagraph"/>
        <w:numPr>
          <w:ilvl w:val="0"/>
          <w:numId w:val="3"/>
        </w:numPr>
        <w:spacing w:after="80"/>
      </w:pPr>
      <w:r>
        <w:t xml:space="preserve">NIST SP 800-30 (Risk Assessment Guide)</w:t>
      </w:r>
    </w:p>
    <w:p>
      <w:pPr>
        <w:pStyle w:val="ListParagraph"/>
        <w:numPr>
          <w:ilvl w:val="0"/>
          <w:numId w:val="3"/>
        </w:numPr>
        <w:spacing w:after="80"/>
      </w:pPr>
      <w:r>
        <w:t xml:space="preserve">Risk Register PT Equity Life Indonesia</w:t>
      </w:r>
    </w:p>
    <w:p>
      <w:pPr>
        <w:pStyle w:val="Heading1"/>
      </w:pPr>
      <w:r>
        <w:t xml:space="preserve">7. Persetujuan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Peran</w:t>
            </w:r>
          </w:p>
        </w:tc>
        <w:tc>
          <w:tcPr>
            <w:tcW w:type="dxa" w:w="243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Nama</w:t>
            </w:r>
          </w:p>
        </w:tc>
        <w:tc>
          <w:tcPr>
            <w:tcW w:type="dxa" w:w="243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Tanda Tangan</w:t>
            </w:r>
          </w:p>
        </w:tc>
        <w:tc>
          <w:tcPr>
            <w:tcW w:type="dxa" w:w="243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Disusun oleh</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[nama]</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Diperiksa oleh</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[nama]</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Disetujui oleh</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[nama]</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Arial" w:cs="Arial" w:eastAsia="Arial" w:hAnsi="Arial"/>
                <w:sz w:val="20"/>
                <w:szCs w:val="20"/>
              </w:rPr>
              <w:t xml:space="preserve"/>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4"/>
        <w:szCs w:val="14"/>
      </w:rPr>
      <w:t xml:space="preserve">Confidential — PT Equity Life Indonesia   |   Halaman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6"/>
        <w:szCs w:val="16"/>
      </w:rPr>
      <w:t xml:space="preserve">PT Equity Life Indonesia</w:t>
    </w:r>
    <w:r>
      <w:rPr>
        <w:rFonts w:ascii="Arial" w:cs="Arial" w:eastAsia="Arial" w:hAnsi="Arial"/>
        <w:color w:val="666666"/>
        <w:sz w:val="16"/>
        <w:szCs w:val="16"/>
      </w:rPr>
      <w:t xml:space="preserve">   |   ELI-ISMS-DOC-003   |   Risk Assessment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2026-03-21T16:16:39.823Z</dcterms:created>
  <dcterms:modified xsi:type="dcterms:W3CDTF">2026-03-21T16:16:39.823Z</dcterms:modified>
</cp:coreProperties>
</file>

<file path=docProps/custom.xml><?xml version="1.0" encoding="utf-8"?>
<Properties xmlns="http://schemas.openxmlformats.org/officeDocument/2006/custom-properties" xmlns:vt="http://schemas.openxmlformats.org/officeDocument/2006/docPropsVTypes"/>
</file>