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33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460"/>
        <w:gridCol w:w="2400"/>
        <w:gridCol w:w="4060"/>
      </w:tblGrid>
      <w:tr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4E7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No. Dokumen</w:t>
            </w:r>
          </w:p>
        </w:tc>
        <w:tc>
          <w:tcPr>
            <w:tcW w:type="dxa" w:w="44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ELI-ISMS-DOC-004</w:t>
            </w:r>
          </w:p>
        </w:tc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4E7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Versi</w:t>
            </w:r>
          </w:p>
        </w:tc>
        <w:tc>
          <w:tcPr>
            <w:tcW w:type="dxa" w:w="40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1.0</w:t>
            </w:r>
          </w:p>
        </w:tc>
      </w:tr>
      <w:tr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4E7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Judul</w:t>
            </w:r>
          </w:p>
        </w:tc>
        <w:tc>
          <w:tcPr>
            <w:tcW w:type="dxa" w:w="44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Risk Treatment Plan 2026</w:t>
            </w:r>
          </w:p>
        </w:tc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4E7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Tanggal</w:t>
            </w:r>
          </w:p>
        </w:tc>
        <w:tc>
          <w:tcPr>
            <w:tcW w:type="dxa" w:w="40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Maret 2026</w:t>
            </w:r>
          </w:p>
        </w:tc>
      </w:tr>
      <w:tr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4E7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Klasifikasi</w:t>
            </w:r>
          </w:p>
        </w:tc>
        <w:tc>
          <w:tcPr>
            <w:tcW w:type="dxa" w:w="44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Internal / Restricted</w:t>
            </w:r>
          </w:p>
        </w:tc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4E7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PIC</w:t>
            </w:r>
          </w:p>
        </w:tc>
        <w:tc>
          <w:tcPr>
            <w:tcW w:type="dxa" w:w="40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IT Security &amp; Governance, Risk Management</w:t>
            </w:r>
          </w:p>
        </w:tc>
      </w:tr>
    </w:tbl>
    <w:p>
      <w:pPr>
        <w:spacing w:after="200"/>
      </w:pPr>
    </w:p>
    <w:p>
      <w:pPr>
        <w:pStyle w:val="Heading1"/>
      </w:pPr>
      <w:r>
        <w:t xml:space="preserve">Risk Treatment Plan</w:t>
      </w:r>
    </w:p>
    <w:p>
      <w:pPr>
        <w:spacing w:after="100"/>
      </w:pPr>
      <w:r>
        <w:t xml:space="preserve">Dokumen ini mendokumentasikan rencana penanganan risiko keamanan informasi berdasarkan hasil Risk Assessment 2026, sesuai ISO/IEC 27001:2022 Clause 6.1.3. Setiap risiko yang tidak diterima (di atas risk acceptance criteria) harus memiliki rencana treatment yang jelas.</w:t>
      </w:r>
    </w:p>
    <w:p>
      <w:pPr>
        <w:spacing w:after="200"/>
      </w:pPr>
    </w:p>
    <w:tbl>
      <w:tblPr>
        <w:tblW w:type="dxa" w:w="133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000"/>
        <w:gridCol w:w="1100"/>
        <w:gridCol w:w="1000"/>
        <w:gridCol w:w="2500"/>
        <w:gridCol w:w="1400"/>
        <w:gridCol w:w="900"/>
        <w:gridCol w:w="1000"/>
        <w:gridCol w:w="2220"/>
      </w:tblGrid>
      <w:tr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4E7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Risk ID</w:t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4E7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Deskripsi Risiko</w:t>
            </w:r>
          </w:p>
        </w:tc>
        <w:tc>
          <w:tcPr>
            <w:tcW w:type="dxa" w:w="1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4E7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Risk Level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4E7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Treatment</w:t>
            </w:r>
          </w:p>
        </w:tc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4E7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Rencana Penanganan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4E7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PIC</w:t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4E7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Target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4E7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W w:type="dxa" w:w="22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4E7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Keterangan / Progress</w:t>
            </w:r>
          </w:p>
        </w:tc>
      </w:tr>
      <w:tr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R-2026-001</w:t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Ransomware attack pada server produksi</w:t>
            </w:r>
          </w:p>
        </w:tc>
        <w:tc>
          <w:tcPr>
            <w:tcW w:type="dxa" w:w="1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HIGH (16)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Mitigate</w:t>
            </w:r>
          </w:p>
        </w:tc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Implementasi EDR, network segmentation, backup immutable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IT Security &amp; Governance</w:t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Q2 2026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In Progress</w:t>
            </w:r>
          </w:p>
        </w:tc>
        <w:tc>
          <w:tcPr>
            <w:tcW w:type="dxa" w:w="22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EDR deployed, segmentasi ongoing</w:t>
            </w:r>
          </w:p>
        </w:tc>
      </w:tr>
      <w:tr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R-2026-002</w:t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Data breach data pribadi nasabah</w:t>
            </w:r>
          </w:p>
        </w:tc>
        <w:tc>
          <w:tcPr>
            <w:tcW w:type="dxa" w:w="1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CRITICAL (20)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Mitigate</w:t>
            </w:r>
          </w:p>
        </w:tc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Enkripsi at-rest &amp; in-transit, DLP, access review berkala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IT Security, Compliance</w:t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Q1 2026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In Progress</w:t>
            </w:r>
          </w:p>
        </w:tc>
        <w:tc>
          <w:tcPr>
            <w:tcW w:type="dxa" w:w="22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Enkripsi done, DLP in progress</w:t>
            </w:r>
          </w:p>
        </w:tc>
      </w:tr>
      <w:tr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R-2026-003</w:t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Kegagalan sistem core saat jam operasional</w:t>
            </w:r>
          </w:p>
        </w:tc>
        <w:tc>
          <w:tcPr>
            <w:tcW w:type="dxa" w:w="1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HIGH (15)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Mitigate</w:t>
            </w:r>
          </w:p>
        </w:tc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HA cluster, DR site, monitoring real-time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IT Infrastructure</w:t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Q2 2026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In Progress</w:t>
            </w:r>
          </w:p>
        </w:tc>
        <w:tc>
          <w:tcPr>
            <w:tcW w:type="dxa" w:w="22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HA active, DR testing scheduled</w:t>
            </w:r>
          </w:p>
        </w:tc>
      </w:tr>
      <w:tr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R-2026-004</w:t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Unauthorized access oleh ex-karyawan</w:t>
            </w:r>
          </w:p>
        </w:tc>
        <w:tc>
          <w:tcPr>
            <w:tcW w:type="dxa" w:w="1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MEDIUM (9)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Mitigate</w:t>
            </w:r>
          </w:p>
        </w:tc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Auto-disable account, offboarding checklist, PAM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IT Security, HC</w:t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Q1 2026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Completed</w:t>
            </w:r>
          </w:p>
        </w:tc>
        <w:tc>
          <w:tcPr>
            <w:tcW w:type="dxa" w:w="22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Offboarding SOP updated</w:t>
            </w:r>
          </w:p>
        </w:tc>
      </w:tr>
      <w:tr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R-2026-005</w:t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Ketidakpatuhan UU PDP</w:t>
            </w:r>
          </w:p>
        </w:tc>
        <w:tc>
          <w:tcPr>
            <w:tcW w:type="dxa" w:w="1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HIGH (12)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Mitigate</w:t>
            </w:r>
          </w:p>
        </w:tc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Penunjukan DPO, ROPA, prosedur DSR, training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Compliance, IT Security</w:t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Q2 2026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In Progress</w:t>
            </w:r>
          </w:p>
        </w:tc>
        <w:tc>
          <w:tcPr>
            <w:tcW w:type="dxa" w:w="22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DPO ditunjuk, ROPA draft</w:t>
            </w:r>
          </w:p>
        </w:tc>
      </w:tr>
      <w:tr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R-2026-006</w:t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Vendor cloud tidak comply SOC2/ISO27001</w:t>
            </w:r>
          </w:p>
        </w:tc>
        <w:tc>
          <w:tcPr>
            <w:tcW w:type="dxa" w:w="1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MEDIUM (8)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Transfer</w:t>
            </w:r>
          </w:p>
        </w:tc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Klausul keamanan di PKS, audit vendor tahunan, SLA keamanan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IT Vendor Mgmt, Procurement</w:t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Q2 2026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Planned</w:t>
            </w:r>
          </w:p>
        </w:tc>
        <w:tc>
          <w:tcPr>
            <w:tcW w:type="dxa" w:w="22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Review PKS ongoing</w:t>
            </w:r>
          </w:p>
        </w:tc>
      </w:tr>
      <w:tr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[ID]</w:t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[Deskripsi risiko]</w:t>
            </w:r>
          </w:p>
        </w:tc>
        <w:tc>
          <w:tcPr>
            <w:tcW w:type="dxa" w:w="1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[Risk Level]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[Accept/Mitigate/Transfer/Avoid]</w:t>
            </w:r>
          </w:p>
        </w:tc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[Rencana penanganan]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[PIC]</w:t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[Target]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[Status]</w:t>
            </w:r>
          </w:p>
        </w:tc>
        <w:tc>
          <w:tcPr>
            <w:tcW w:type="dxa" w:w="22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[Keterangan]</w:t>
            </w:r>
          </w:p>
        </w:tc>
      </w:tr>
    </w:tbl>
    <w:p>
      <w:pPr>
        <w:spacing w:after="200"/>
      </w:pPr>
    </w:p>
    <w:p>
      <w:pPr>
        <w:spacing w:after="100"/>
      </w:pPr>
      <w:r>
        <w:rPr>
          <w:b/>
          <w:bCs/>
        </w:rPr>
        <w:t xml:space="preserve">Keterangan Status: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Planned = Belum dimulai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In Progress = Sedang dikerjakan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Completed = Selesai, menunggu verifikasi efektivitas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Verified = Selesai dan terbukti efektif</w:t>
      </w:r>
    </w:p>
    <w:p>
      <w:pPr>
        <w:spacing w:after="200"/>
      </w:pPr>
    </w:p>
    <w:p>
      <w:pPr>
        <w:pStyle w:val="Heading1"/>
      </w:pPr>
      <w:r>
        <w:t xml:space="preserve">Persetujuan</w:t>
      </w: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30"/>
        <w:gridCol w:w="2430"/>
        <w:gridCol w:w="2430"/>
        <w:gridCol w:w="2430"/>
      </w:tblGrid>
      <w:tr>
        <w:tc>
          <w:tcPr>
            <w:tcW w:type="dxa" w:w="243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4E7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Peran</w:t>
            </w:r>
          </w:p>
        </w:tc>
        <w:tc>
          <w:tcPr>
            <w:tcW w:type="dxa" w:w="243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4E7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Nama</w:t>
            </w:r>
          </w:p>
        </w:tc>
        <w:tc>
          <w:tcPr>
            <w:tcW w:type="dxa" w:w="243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4E7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Tanda Tangan</w:t>
            </w:r>
          </w:p>
        </w:tc>
        <w:tc>
          <w:tcPr>
            <w:tcW w:type="dxa" w:w="243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4E7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Tanggal</w:t>
            </w:r>
          </w:p>
        </w:tc>
      </w:tr>
      <w:tr>
        <w:tc>
          <w:tcPr>
            <w:tcW w:type="dxa" w:w="243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Disusun oleh</w:t>
            </w:r>
          </w:p>
        </w:tc>
        <w:tc>
          <w:tcPr>
            <w:tcW w:type="dxa" w:w="243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[nama]</w:t>
            </w:r>
          </w:p>
        </w:tc>
        <w:tc>
          <w:tcPr>
            <w:tcW w:type="dxa" w:w="243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243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43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Diperiksa oleh</w:t>
            </w:r>
          </w:p>
        </w:tc>
        <w:tc>
          <w:tcPr>
            <w:tcW w:type="dxa" w:w="243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[nama]</w:t>
            </w:r>
          </w:p>
        </w:tc>
        <w:tc>
          <w:tcPr>
            <w:tcW w:type="dxa" w:w="243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243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43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Disetujui oleh</w:t>
            </w:r>
          </w:p>
        </w:tc>
        <w:tc>
          <w:tcPr>
            <w:tcW w:type="dxa" w:w="243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[nama]</w:t>
            </w:r>
          </w:p>
        </w:tc>
        <w:tc>
          <w:tcPr>
            <w:tcW w:type="dxa" w:w="243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243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</w:tbl>
    <w:sectPr>
      <w:headerReference w:type="default" r:id="rId7"/>
      <w:footerReference w:type="default" r:id="rId8"/>
      <w:pgSz w:w="15840" w:h="12240" w:orient="landscape"/>
      <w:pgMar w:top="1260" w:right="1260" w:bottom="126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4" w:space="1"/>
      </w:pBdr>
      <w:jc w:val="center"/>
    </w:pPr>
    <w:r>
      <w:rPr>
        <w:rFonts w:ascii="Arial" w:cs="Arial" w:eastAsia="Arial" w:hAnsi="Arial"/>
        <w:color w:val="999999"/>
        <w:sz w:val="14"/>
        <w:szCs w:val="14"/>
      </w:rPr>
      <w:t xml:space="preserve">Confidential — PT Equity Life Indonesia   |   Halaman </w:t>
    </w:r>
    <w:r>
      <w:rPr>
        <w:rFonts w:ascii="Arial" w:cs="Arial" w:eastAsia="Arial" w:hAnsi="Arial"/>
        <w:color w:val="999999"/>
        <w:sz w:val="14"/>
        <w:szCs w:val="14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F4E79" w:sz="6" w:space="1"/>
      </w:pBdr>
    </w:pPr>
    <w:r>
      <w:rPr>
        <w:rFonts w:ascii="Arial" w:cs="Arial" w:eastAsia="Arial" w:hAnsi="Arial"/>
        <w:b/>
        <w:bCs/>
        <w:color w:val="1F4E79"/>
        <w:sz w:val="16"/>
        <w:szCs w:val="16"/>
      </w:rPr>
      <w:t xml:space="preserve">PT Equity Life Indonesia</w:t>
    </w:r>
    <w:r>
      <w:rPr>
        <w:rFonts w:ascii="Arial" w:cs="Arial" w:eastAsia="Arial" w:hAnsi="Arial"/>
        <w:color w:val="666666"/>
        <w:sz w:val="16"/>
        <w:szCs w:val="16"/>
      </w:rPr>
      <w:t xml:space="preserve">   |   ELI-ISMS-DOC-004   |   Risk Treatment Plan 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F4E79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2026-03-21T16:17:32.024Z</dcterms:created>
  <dcterms:modified xsi:type="dcterms:W3CDTF">2026-03-21T16:17:32.031Z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