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1F497D"/>
          </w:tcPr>
          <w:p>
            <w:pPr>
              <w:spacing w:before="400" w:after="400"/>
              <w:jc w:val="center"/>
            </w:pPr>
            <w:r>
              <w:rPr>
                <w:b/>
                <w:color w:val="FFFFFF"/>
                <w:sz w:val="36"/>
              </w:rPr>
              <w:t>PT EQUITY LIFE INDONESIA</w:t>
            </w:r>
          </w:p>
        </w:tc>
      </w:tr>
    </w:tbl>
    <w:p/>
    <w:p>
      <w:pPr>
        <w:jc w:val="center"/>
      </w:pPr>
      <w:r>
        <w:rPr>
          <w:color w:val="2E74B5"/>
          <w:sz w:val="28"/>
        </w:rPr>
        <w:t>ISO/IEC 27001:2022</w:t>
      </w:r>
    </w:p>
    <w:p/>
    <w:p>
      <w:pPr>
        <w:jc w:val="center"/>
      </w:pPr>
      <w:r>
        <w:rPr>
          <w:b/>
          <w:color w:val="1F497D"/>
          <w:sz w:val="40"/>
        </w:rPr>
        <w:t>Penilaian dan Penanganan Risiko Keamanan Informasi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Nomor Dokumen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ISMS-RA-001</w:t>
            </w:r>
          </w:p>
        </w:tc>
      </w:tr>
      <w:tr>
        <w:tc>
          <w:tcPr>
            <w:tcW w:type="dxa" w:w="7285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Versi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7285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Tanggal Efektif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Februari 2026</w:t>
            </w:r>
          </w:p>
        </w:tc>
      </w:tr>
      <w:tr>
        <w:tc>
          <w:tcPr>
            <w:tcW w:type="dxa" w:w="7285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Klasifikasi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RAHASIA - INTERNAL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1. METODOLOGI PENILAIAN RISIKO</w:t>
      </w:r>
    </w:p>
    <w:p>
      <w:pPr>
        <w:spacing w:before="40" w:after="80"/>
      </w:pPr>
      <w:r>
        <w:rPr>
          <w:sz w:val="22"/>
        </w:rPr>
        <w:t>Penilaian risiko keamanan informasi PT Equity Life Indonesia dilaksanakan sesuai dengan persyaratan ISO/IEC 27001:2022 Klausul 6.1.2 dan mengacu pada panduan ISO/IEC 27005:2022.</w:t>
      </w:r>
    </w:p>
    <w:p>
      <w:pPr>
        <w:spacing w:before="200" w:after="120"/>
      </w:pPr>
      <w:r>
        <w:rPr>
          <w:b/>
          <w:color w:val="2E74B5"/>
          <w:sz w:val="24"/>
        </w:rPr>
        <w:t>1.1 Pendekatan Penilaian Risiko</w:t>
      </w:r>
    </w:p>
    <w:p>
      <w:pPr>
        <w:spacing w:before="40" w:after="80"/>
      </w:pPr>
      <w:r>
        <w:rPr>
          <w:sz w:val="22"/>
        </w:rPr>
        <w:t>Metodologi yang digunakan adalah pendekatan berbasis aset (asset-based approach) yang mengidentifikasi risiko melalui analisis ancaman dan kerentanan terhadap aset informasi kritis Perusahaan.</w:t>
      </w:r>
    </w:p>
    <w:p>
      <w:pPr>
        <w:spacing w:before="200" w:after="120"/>
      </w:pPr>
      <w:r>
        <w:rPr>
          <w:b/>
          <w:color w:val="2E74B5"/>
          <w:sz w:val="24"/>
        </w:rPr>
        <w:t>1.2 Kriteria Risiko</w:t>
      </w:r>
    </w:p>
    <w:p>
      <w:pPr>
        <w:spacing w:before="40" w:after="80"/>
      </w:pPr>
      <w:r>
        <w:rPr>
          <w:sz w:val="22"/>
        </w:rPr>
        <w:t>Setiap risiko dinilai berdasarkan dua dimensi: Kemungkinan (Likelihood) dan Dampak (Impact).</w:t>
      </w:r>
    </w:p>
    <w:p>
      <w:pPr>
        <w:spacing w:before="200" w:after="120"/>
      </w:pPr>
      <w:r>
        <w:rPr>
          <w:b/>
          <w:sz w:val="22"/>
        </w:rPr>
        <w:t>1.2.1 Skala Kemungkinan (Likelihood)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  <w:tc>
          <w:tcPr>
            <w:tcW w:type="dxa" w:w="4857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Tingkat</w:t>
            </w:r>
          </w:p>
        </w:tc>
        <w:tc>
          <w:tcPr>
            <w:tcW w:type="dxa" w:w="4857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857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857"/>
            <w:shd w:val="clear" w:color="auto" w:fill="DEEAF1"/>
          </w:tcPr>
          <w:p>
            <w:r>
              <w:rPr>
                <w:b/>
                <w:sz w:val="20"/>
              </w:rPr>
              <w:t>Hampir Pasti (Almost Certain)</w:t>
            </w:r>
          </w:p>
        </w:tc>
        <w:tc>
          <w:tcPr>
            <w:tcW w:type="dxa" w:w="4857"/>
            <w:shd w:val="clear" w:color="auto" w:fill="DEEAF1"/>
          </w:tcPr>
          <w:p>
            <w:r>
              <w:rPr>
                <w:sz w:val="20"/>
              </w:rPr>
              <w:t>Sangat mungkin terjadi; lebih dari sekali per tahun atau terjadi berulang kali</w:t>
            </w:r>
          </w:p>
        </w:tc>
      </w:tr>
      <w:tr>
        <w:tc>
          <w:tcPr>
            <w:tcW w:type="dxa" w:w="48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857"/>
          </w:tcPr>
          <w:p>
            <w:r>
              <w:rPr>
                <w:b/>
                <w:sz w:val="20"/>
              </w:rPr>
              <w:t>Kemungkinan Besar (Likely)</w:t>
            </w:r>
          </w:p>
        </w:tc>
        <w:tc>
          <w:tcPr>
            <w:tcW w:type="dxa" w:w="4857"/>
          </w:tcPr>
          <w:p>
            <w:r>
              <w:rPr>
                <w:sz w:val="20"/>
              </w:rPr>
              <w:t>Mungkin terjadi; satu kali per tahun atau pernah terjadi di industri</w:t>
            </w:r>
          </w:p>
        </w:tc>
      </w:tr>
      <w:tr>
        <w:tc>
          <w:tcPr>
            <w:tcW w:type="dxa" w:w="4857"/>
            <w:shd w:val="clear" w:color="auto" w:fill="DEEA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857"/>
            <w:shd w:val="clear" w:color="auto" w:fill="DEEAF1"/>
          </w:tcPr>
          <w:p>
            <w:r>
              <w:rPr>
                <w:b/>
                <w:sz w:val="20"/>
              </w:rPr>
              <w:t>Sedang (Moderate)</w:t>
            </w:r>
          </w:p>
        </w:tc>
        <w:tc>
          <w:tcPr>
            <w:tcW w:type="dxa" w:w="4857"/>
            <w:shd w:val="clear" w:color="auto" w:fill="DEEAF1"/>
          </w:tcPr>
          <w:p>
            <w:r>
              <w:rPr>
                <w:sz w:val="20"/>
              </w:rPr>
              <w:t>Kadang terjadi; sekali dalam 1-3 tahun atau terjadi di industri serupa</w:t>
            </w:r>
          </w:p>
        </w:tc>
      </w:tr>
      <w:tr>
        <w:tc>
          <w:tcPr>
            <w:tcW w:type="dxa" w:w="485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857"/>
          </w:tcPr>
          <w:p>
            <w:r>
              <w:rPr>
                <w:b/>
                <w:sz w:val="20"/>
              </w:rPr>
              <w:t>Tidak Umum (Unlikely)</w:t>
            </w:r>
          </w:p>
        </w:tc>
        <w:tc>
          <w:tcPr>
            <w:tcW w:type="dxa" w:w="4857"/>
          </w:tcPr>
          <w:p>
            <w:r>
              <w:rPr>
                <w:sz w:val="20"/>
              </w:rPr>
              <w:t>Kecil kemungkinannya; sekali dalam 3-10 tahun</w:t>
            </w:r>
          </w:p>
        </w:tc>
      </w:tr>
      <w:tr>
        <w:tc>
          <w:tcPr>
            <w:tcW w:type="dxa" w:w="4857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857"/>
            <w:shd w:val="clear" w:color="auto" w:fill="DEEAF1"/>
          </w:tcPr>
          <w:p>
            <w:r>
              <w:rPr>
                <w:b/>
                <w:sz w:val="20"/>
              </w:rPr>
              <w:t>Jarang (Rare)</w:t>
            </w:r>
          </w:p>
        </w:tc>
        <w:tc>
          <w:tcPr>
            <w:tcW w:type="dxa" w:w="4857"/>
            <w:shd w:val="clear" w:color="auto" w:fill="DEEAF1"/>
          </w:tcPr>
          <w:p>
            <w:r>
              <w:rPr>
                <w:sz w:val="20"/>
              </w:rPr>
              <w:t>Sangat jarang; hanya dalam keadaan luar biasa; sekali dalam &gt;10 tahun</w:t>
            </w:r>
          </w:p>
        </w:tc>
      </w:tr>
    </w:tbl>
    <w:p/>
    <w:p>
      <w:pPr>
        <w:spacing w:before="200" w:after="120"/>
      </w:pPr>
      <w:r>
        <w:rPr>
          <w:b/>
          <w:sz w:val="22"/>
        </w:rPr>
        <w:t>1.2.2 Skala Dampak (Impact)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Deskripsi Umum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Contoh pada Equity Life</w:t>
            </w:r>
          </w:p>
        </w:tc>
      </w:tr>
      <w:tr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b/>
                <w:sz w:val="18"/>
              </w:rPr>
              <w:t>Katastrofik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Kerusakan parah pada organisasi, kerugian &gt; Rp 50M, sanksi regulator berat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Kebocoran data seluruh nasabah, penghentian izin usaha</w:t>
            </w:r>
          </w:p>
        </w:tc>
      </w:tr>
      <w:tr>
        <w:tc>
          <w:tcPr>
            <w:tcW w:type="dxa" w:w="364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42"/>
          </w:tcPr>
          <w:p>
            <w:r>
              <w:rPr>
                <w:b/>
                <w:sz w:val="18"/>
              </w:rPr>
              <w:t>Besar (Major)</w:t>
            </w:r>
          </w:p>
        </w:tc>
        <w:tc>
          <w:tcPr>
            <w:tcW w:type="dxa" w:w="3642"/>
          </w:tcPr>
          <w:p>
            <w:r>
              <w:rPr>
                <w:sz w:val="18"/>
              </w:rPr>
              <w:t>Kerugian finansial dan reputasi signifikan, Rp 10-50M, denda OJK</w:t>
            </w:r>
          </w:p>
        </w:tc>
        <w:tc>
          <w:tcPr>
            <w:tcW w:type="dxa" w:w="3642"/>
          </w:tcPr>
          <w:p>
            <w:r>
              <w:rPr>
                <w:sz w:val="18"/>
              </w:rPr>
              <w:t>Pemadaman sistem core 24+ jam, kebocoran data ribuan nasabah</w:t>
            </w:r>
          </w:p>
        </w:tc>
      </w:tr>
      <w:tr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b/>
                <w:sz w:val="18"/>
              </w:rPr>
              <w:t>Sedang (Moderate)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Gangguan operasional berarti, Rp 1-10M, teguran regulator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Pemadaman sistem 4-24 jam, insiden phishing terbatas</w:t>
            </w:r>
          </w:p>
        </w:tc>
      </w:tr>
      <w:tr>
        <w:tc>
          <w:tcPr>
            <w:tcW w:type="dxa" w:w="364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42"/>
          </w:tcPr>
          <w:p>
            <w:r>
              <w:rPr>
                <w:b/>
                <w:sz w:val="18"/>
              </w:rPr>
              <w:t>Kecil (Minor)</w:t>
            </w:r>
          </w:p>
        </w:tc>
        <w:tc>
          <w:tcPr>
            <w:tcW w:type="dxa" w:w="3642"/>
          </w:tcPr>
          <w:p>
            <w:r>
              <w:rPr>
                <w:sz w:val="18"/>
              </w:rPr>
              <w:t>Gangguan terbatas, Rp &lt; 1M, dampak operasional minor</w:t>
            </w:r>
          </w:p>
        </w:tc>
        <w:tc>
          <w:tcPr>
            <w:tcW w:type="dxa" w:w="3642"/>
          </w:tcPr>
          <w:p>
            <w:r>
              <w:rPr>
                <w:sz w:val="18"/>
              </w:rPr>
              <w:t>Pemadaman sistem &lt; 4 jam, insiden isolated</w:t>
            </w:r>
          </w:p>
        </w:tc>
      </w:tr>
      <w:tr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b/>
                <w:sz w:val="18"/>
              </w:rPr>
              <w:t>Dapat Diabaikan (Negligible)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Dampak minimal, tidak ada gangguan bisnis berarti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18"/>
              </w:rPr>
              <w:t>Error sistem minor yang pulih otomatis</w:t>
            </w:r>
          </w:p>
        </w:tc>
      </w:tr>
    </w:tbl>
    <w:p/>
    <w:p>
      <w:pPr>
        <w:spacing w:before="200" w:after="120"/>
      </w:pPr>
      <w:r>
        <w:rPr>
          <w:b/>
          <w:sz w:val="22"/>
        </w:rPr>
        <w:t>1.2.3 Matriks Risiko dan Tingkat Risiko</w:t>
      </w:r>
    </w:p>
    <w:p>
      <w:pPr>
        <w:spacing w:before="40" w:after="80"/>
      </w:pPr>
      <w:r>
        <w:rPr>
          <w:sz w:val="22"/>
        </w:rPr>
        <w:t>Tingkat risiko dihitung sebagai: Risiko = Kemungkinan (L) x Dampak (I)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 \ I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I=1</w:t>
              <w:br/>
              <w:t>Trv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I=2</w:t>
              <w:br/>
              <w:t>Kecil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I=3</w:t>
              <w:br/>
              <w:t>Sdg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I=4</w:t>
              <w:br/>
              <w:t>Besar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I=5</w:t>
              <w:br/>
              <w:t>Katat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c>
          <w:tcPr>
            <w:tcW w:type="dxa" w:w="2081"/>
            <w:shd w:val="clear" w:color="auto" w:fill="2E74B5"/>
          </w:tcPr>
          <w:p>
            <w:r>
              <w:rPr>
                <w:b/>
                <w:color w:val="FFFFFF"/>
                <w:sz w:val="16"/>
              </w:rPr>
              <w:t>L=5 Hampir Pasti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10</w:t>
            </w:r>
          </w:p>
        </w:tc>
        <w:tc>
          <w:tcPr>
            <w:tcW w:type="dxa" w:w="2081"/>
            <w:shd w:val="clear" w:color="auto" w:fill="FF8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type="dxa" w:w="2081"/>
            <w:shd w:val="clear" w:color="auto" w:fill="FF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2081"/>
            <w:shd w:val="clear" w:color="auto" w:fill="FF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25</w:t>
            </w:r>
          </w:p>
        </w:tc>
        <w:tc>
          <w:tcPr>
            <w:tcW w:type="dxa" w:w="2081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081"/>
            <w:shd w:val="clear" w:color="auto" w:fill="2E74B5"/>
          </w:tcPr>
          <w:p>
            <w:r>
              <w:rPr>
                <w:b/>
                <w:color w:val="FFFFFF"/>
                <w:sz w:val="16"/>
              </w:rPr>
              <w:t>L=4 Kemungkinan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type="dxa" w:w="2081"/>
            <w:shd w:val="clear" w:color="auto" w:fill="FF8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2081"/>
            <w:shd w:val="clear" w:color="auto" w:fill="FF8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type="dxa" w:w="2081"/>
            <w:shd w:val="clear" w:color="auto" w:fill="FF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2081"/>
            <w:shd w:val="clear" w:color="auto" w:fill="FF000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2081"/>
            <w:shd w:val="clear" w:color="auto" w:fill="2E74B5"/>
          </w:tcPr>
          <w:p>
            <w:r>
              <w:rPr>
                <w:b/>
                <w:color w:val="FFFFFF"/>
                <w:sz w:val="16"/>
              </w:rPr>
              <w:t>L=3 Sedang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</w:t>
            </w:r>
          </w:p>
        </w:tc>
        <w:tc>
          <w:tcPr>
            <w:tcW w:type="dxa" w:w="2081"/>
            <w:shd w:val="clear" w:color="auto" w:fill="FF8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2081"/>
            <w:shd w:val="clear" w:color="auto" w:fill="FF8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type="dxa" w:w="2081"/>
            <w:shd w:val="clear" w:color="auto" w:fill="FF8C0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2081"/>
            <w:shd w:val="clear" w:color="auto" w:fill="2E74B5"/>
          </w:tcPr>
          <w:p>
            <w:r>
              <w:rPr>
                <w:b/>
                <w:color w:val="FFFFFF"/>
                <w:sz w:val="16"/>
              </w:rPr>
              <w:t>L=2 Tidak Umum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10</w:t>
            </w:r>
          </w:p>
        </w:tc>
        <w:tc>
          <w:tcPr>
            <w:tcW w:type="dxa" w:w="2081"/>
            <w:shd w:val="clear" w:color="auto" w:fill="FFD70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081"/>
            <w:shd w:val="clear" w:color="auto" w:fill="2E74B5"/>
          </w:tcPr>
          <w:p>
            <w:r>
              <w:rPr>
                <w:b/>
                <w:color w:val="FFFFFF"/>
                <w:sz w:val="16"/>
              </w:rPr>
              <w:t>L=1 Jarang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</w:t>
            </w:r>
          </w:p>
        </w:tc>
        <w:tc>
          <w:tcPr>
            <w:tcW w:type="dxa" w:w="2081"/>
            <w:shd w:val="clear" w:color="auto" w:fill="70AD4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FF0000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KRITIS (20-25)</w:t>
              <w:br/>
            </w:r>
            <w:r>
              <w:rPr>
                <w:color w:val="FFFFFF"/>
                <w:sz w:val="16"/>
              </w:rPr>
              <w:t>Segera tangani; eskalasi ke Direksi</w:t>
            </w:r>
          </w:p>
        </w:tc>
        <w:tc>
          <w:tcPr>
            <w:tcW w:type="dxa" w:w="3642"/>
            <w:shd w:val="clear" w:color="auto" w:fill="FF8C00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TINGGI (12-16)</w:t>
              <w:br/>
            </w:r>
            <w:r>
              <w:rPr>
                <w:color w:val="FFFFFF"/>
                <w:sz w:val="16"/>
              </w:rPr>
              <w:t>Tangani dalam 30 hari; eskalasi ke CISO</w:t>
            </w:r>
          </w:p>
        </w:tc>
        <w:tc>
          <w:tcPr>
            <w:tcW w:type="dxa" w:w="3642"/>
            <w:shd w:val="clear" w:color="auto" w:fill="FFD700"/>
          </w:tcPr>
          <w:p>
            <w:pPr>
              <w:spacing w:before="80" w:after="80"/>
            </w:pPr>
            <w:r>
              <w:rPr>
                <w:b/>
                <w:color w:val="000000"/>
                <w:sz w:val="18"/>
              </w:rPr>
              <w:t>SEDANG (6-9)</w:t>
              <w:br/>
            </w:r>
            <w:r>
              <w:rPr>
                <w:color w:val="000000"/>
                <w:sz w:val="16"/>
              </w:rPr>
              <w:t>Tangani dalam 90 hari; dikelola oleh IT Security</w:t>
            </w:r>
          </w:p>
        </w:tc>
        <w:tc>
          <w:tcPr>
            <w:tcW w:type="dxa" w:w="3642"/>
            <w:shd w:val="clear" w:color="auto" w:fill="70AD47"/>
          </w:tcPr>
          <w:p>
            <w:pPr>
              <w:spacing w:before="80" w:after="80"/>
            </w:pPr>
            <w:r>
              <w:rPr>
                <w:b/>
                <w:color w:val="000000"/>
                <w:sz w:val="18"/>
              </w:rPr>
              <w:t>RENDAH (1-4)</w:t>
              <w:br/>
            </w:r>
            <w:r>
              <w:rPr>
                <w:color w:val="000000"/>
                <w:sz w:val="16"/>
              </w:rPr>
              <w:t>Pantau; tindakan rutin sudah cukup</w:t>
            </w:r>
          </w:p>
        </w:tc>
      </w:tr>
    </w:tbl>
    <w:p>
      <w:pPr>
        <w:spacing w:before="200" w:after="120"/>
      </w:pPr>
      <w:r>
        <w:rPr>
          <w:b/>
          <w:color w:val="2E74B5"/>
          <w:sz w:val="24"/>
        </w:rPr>
        <w:t>1.3 Kriteria Penerimaan Risiko</w:t>
      </w:r>
    </w:p>
    <w:p>
      <w:pPr>
        <w:spacing w:before="40" w:after="80"/>
      </w:pPr>
      <w:r>
        <w:rPr>
          <w:sz w:val="22"/>
        </w:rPr>
        <w:t>PT Equity Life Indonesia menetapkan kriteria penerimaan risiko sebagai berikut:</w:t>
      </w:r>
    </w:p>
    <w:p>
      <w:pPr>
        <w:pStyle w:val="ListBullet"/>
        <w:spacing w:before="40" w:after="40"/>
        <w:ind w:left="567"/>
      </w:pPr>
      <w:r>
        <w:rPr>
          <w:sz w:val="22"/>
        </w:rPr>
        <w:t>Risiko dengan skor &lt;= 4 (RENDAH): Dapat diterima tanpa tindakan tambahan.</w:t>
      </w:r>
    </w:p>
    <w:p>
      <w:pPr>
        <w:pStyle w:val="ListBullet"/>
        <w:spacing w:before="40" w:after="40"/>
        <w:ind w:left="567"/>
      </w:pPr>
      <w:r>
        <w:rPr>
          <w:sz w:val="22"/>
        </w:rPr>
        <w:t>Risiko dengan skor 6-9 (SEDANG): Dapat diterima sementara dengan rencana penanganan terdokumentasi.</w:t>
      </w:r>
    </w:p>
    <w:p>
      <w:pPr>
        <w:pStyle w:val="ListBullet"/>
        <w:spacing w:before="40" w:after="40"/>
        <w:ind w:left="567"/>
      </w:pPr>
      <w:r>
        <w:rPr>
          <w:sz w:val="22"/>
        </w:rPr>
        <w:t>Risiko dengan skor 12-16 (TINGGI): Tidak dapat diterima; harus ditangani dalam 30 hari.</w:t>
      </w:r>
    </w:p>
    <w:p>
      <w:pPr>
        <w:pStyle w:val="ListBullet"/>
        <w:spacing w:before="40" w:after="40"/>
        <w:ind w:left="567"/>
      </w:pPr>
      <w:r>
        <w:rPr>
          <w:sz w:val="22"/>
        </w:rPr>
        <w:t>Risiko dengan skor 20-25 (KRITIS): Tidak dapat diterima dalam kondisi apapun; harus ditangani segera.</w:t>
      </w:r>
    </w:p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2. REGISTER RISIKO KEAMANAN INFORMASI</w:t>
      </w:r>
    </w:p>
    <w:p>
      <w:pPr>
        <w:spacing w:before="40" w:after="80"/>
      </w:pPr>
      <w:r>
        <w:rPr>
          <w:sz w:val="22"/>
        </w:rPr>
        <w:t>Tabel berikut mendokumentasikan risiko-risiko keamanan informasi yang telah diidentifikasi untuk PT Equity Life Indonesia. Penilaian dilakukan pada [Bulan, Tahun] oleh Tim Manajemen Risiko Keamanan Informasi.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ID Risiko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Aset Terdampak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Ancaman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Kerentanan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Skor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1619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Kontrol Saat Ini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R-001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Data Nasabah &amp; Polis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Kebocoran data oleh pihak dalam (Insider Threat)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Akses berlebihan (over-privileged); kurangnya monitoring akses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ISMS-CTR-001: PAM, DLP, UEBA, audit akses bulanan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R-002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Sistem Administrasi Polis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Serangan Ransomware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Patch tidak terkini; backup tidak terverifikasi; email phishing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ISMS-CTR-002: EDR, email filtering, patch mgmt, backup terisolasi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R-003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Infrastruktur Jaringan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Serangan DDoS pada layanan online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Tidak ada mitigasi DDoS khusus; bandwidth terbatas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16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ISMS-CTR-003: DDoS mitigation service, CDN, asuransi siber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R-004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Aplikasi Web/Mobile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Eksploitasi kerentanan aplikasi (OWASP Top 10)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Code review tidak konsisten; OWASP testing terbatas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ISMS-CTR-004: SAST/DAST, WAF, penetration testing tahunan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R-005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Database Nasabah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SQL Injection / Database Attack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Input validation lemah; database tidak tersegmentasi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ISMS-CTR-005: DAM, parameterized queries, network segmentation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R-006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Email &amp; Komunikasi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Serangan Phishing / Business Email Compromise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Karyawan kurang aware; SPF/DKIM/DMARC belum optimal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ISMS-CTR-006: Email security gateway, DMARC, phishing simulation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R-007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Sistem Keuangan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Manipulasi data keuangan oleh pihak tak berwenang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Segregasi tugas (SoD) belum memadai; log audit tidak konsisten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ISMS-CTR-007: SoD controls, audit trail, 4-eyes principle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R-008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Backup &amp; Recovery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Kegagalan pemulihan data setelah bencana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Backup tidak diuji secara berkala; prosedur DR tidak dilatih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ISMS-CTR-008: DR drill tahunan, backup verification otomatis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R-009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Pihak Ketiga / Vendor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Kompromi keamanan melalui vendor (Supply Chain Attack)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Vendor assessment tidak konsisten; akses vendor tidak dipantau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ISMS-CTR-009: Vendor security assessment, PAM untuk akses vendor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R-010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Infrastruktur Cloud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Misconfiguration cloud yang mengekspos data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Cloud security posture management belum optimal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ISMS-CTR-010: CSPM tools, cloud security policy, training DevSecOps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R-011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Perangkat Endpoint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Malware/Spyware pada perangkat karyawan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MDM belum diterapkan penuh; BYOD policy lemah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ISMS-CTR-011: EDR/XDR, MDM, NAC, BYOD policy ketat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R-012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Kunci Enkripsi &amp; Sertifikat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Pencurian atau kedaluwarsa kunci kriptografi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Manajemen sertifikat manual; sertifikat tidak terpantau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ISMS-CTR-012: HSM, certificate lifecycle management, auto-renewal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R-013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Data Center Fisik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Akses fisik tidak sah ke ruang server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Kontrol akses fisik tidak berlapis; CCTV coverage tidak penuh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ISMS-CTR-013: Multi-factor physical access, CCTV 24/7, security guard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R-014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SDM - Karyawan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Karyawan tidak menyadari kebijakan keamanan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Program kesadaran belum terstruktur; pelatihan tidak rutin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ISMS-CTR-014: Security awareness program wajib, phishing drill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R-015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Jaringan Internal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Lateral movement setelah kompromi awal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Segmentasi jaringan belum optimal; zero trust belum implementasi penuh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ISMS-CTR-015: Micro-segmentation, zero trust architecture, NDR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R-016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Log &amp; Monitoring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Kegagalan deteksi insiden siber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SIEM belum terkonfigurasi optimal; log coverage tidak penuh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ISMS-CTR-016: SIEM tuning, SOC 24/7, anomaly detection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R-017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Kebijakan &amp; Prosedur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Ketidakpatuhan terhadap regulasi OJK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Pemantauan perubahan regulasi tidak sistematis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ISMS-CTR-017: Regulatory monitoring, gap assessment tahunan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R-018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Data Pribadi Nasabah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Pelanggaran UU Perlindungan Data Pribadi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Data inventory tidak lengkap; data retention policy belum konsisten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1619"/>
            <w:shd w:val="clear" w:color="auto" w:fill="FFD9A0"/>
          </w:tcPr>
          <w:p>
            <w:r>
              <w:rPr>
                <w:b/>
                <w:color w:val="8B4500"/>
                <w:sz w:val="16"/>
              </w:rPr>
              <w:t>TINGGI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ISMS-CTR-018: Data mapping, DPO program, privacy by design</w:t>
            </w:r>
          </w:p>
        </w:tc>
      </w:tr>
      <w:tr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R-019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Sistem Aktuaria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Manipulasi data aktuaria yang berdampak pada pricing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Akses admin system tidak terpantau ketat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  <w:shd w:val="clear" w:color="auto" w:fill="DEEAF1"/>
          </w:tcPr>
          <w:p>
            <w:r>
              <w:rPr>
                <w:sz w:val="16"/>
              </w:rPr>
              <w:t>ISMS-CTR-019: Strict RBAC, audit trail, change management</w:t>
            </w:r>
          </w:p>
        </w:tc>
      </w:tr>
      <w:tr>
        <w:tc>
          <w:tcPr>
            <w:tcW w:type="dxa" w:w="1619"/>
          </w:tcPr>
          <w:p>
            <w:r>
              <w:rPr>
                <w:sz w:val="16"/>
              </w:rPr>
              <w:t>R-020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Kelangsungan Bisnis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Gempa bumi/bencana alam yang merusak data center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Single point of failure pada beberapa sistem; BCP belum diuji penuh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19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19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SEDANG</w:t>
            </w:r>
          </w:p>
        </w:tc>
        <w:tc>
          <w:tcPr>
            <w:tcW w:type="dxa" w:w="1619"/>
          </w:tcPr>
          <w:p>
            <w:r>
              <w:rPr>
                <w:sz w:val="16"/>
              </w:rPr>
              <w:t>ISMS-CTR-020: Geo-redundant DC, BCP testing, asuransi bisnis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3. RENCANA PENANGANAN RISIKO</w:t>
      </w:r>
    </w:p>
    <w:p>
      <w:pPr>
        <w:spacing w:before="40" w:after="80"/>
      </w:pPr>
      <w:r>
        <w:rPr>
          <w:sz w:val="22"/>
        </w:rPr>
        <w:t>Berdasarkan hasil penilaian risiko, berikut adalah rencana penanganan risiko yang telah disusun sesuai ISO/IEC 27001:2022 Klausul 6.1.3 dan 6.1.2:</w:t>
      </w:r>
    </w:p>
    <w:p>
      <w:pPr>
        <w:spacing w:before="200" w:after="120"/>
      </w:pPr>
      <w:r>
        <w:rPr>
          <w:b/>
          <w:color w:val="2E74B5"/>
          <w:sz w:val="24"/>
        </w:rPr>
        <w:t>3.1 Ringkasan Penanganan Risiko per Tingkat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Tingkat Risiko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Jumlah Risiko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Skor Range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Batas Waktu Penanganan</w:t>
            </w:r>
          </w:p>
        </w:tc>
      </w:tr>
      <w:tr>
        <w:tc>
          <w:tcPr>
            <w:tcW w:type="dxa" w:w="3642"/>
            <w:shd w:val="clear" w:color="auto" w:fill="FFB3B3"/>
          </w:tcPr>
          <w:p>
            <w:r>
              <w:rPr>
                <w:b/>
                <w:sz w:val="20"/>
              </w:rPr>
              <w:t>KRITIS</w:t>
            </w:r>
          </w:p>
        </w:tc>
        <w:tc>
          <w:tcPr>
            <w:tcW w:type="dxa" w:w="3642"/>
            <w:shd w:val="clear" w:color="auto" w:fill="FFB3B3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642"/>
            <w:shd w:val="clear" w:color="auto" w:fill="FFB3B3"/>
          </w:tcPr>
          <w:p>
            <w:r>
              <w:rPr>
                <w:sz w:val="20"/>
              </w:rPr>
              <w:t>20-25</w:t>
            </w:r>
          </w:p>
        </w:tc>
        <w:tc>
          <w:tcPr>
            <w:tcW w:type="dxa" w:w="3642"/>
            <w:shd w:val="clear" w:color="auto" w:fill="FFB3B3"/>
          </w:tcPr>
          <w:p>
            <w:r>
              <w:rPr>
                <w:sz w:val="20"/>
              </w:rPr>
              <w:t>Segera (&lt; 2 minggu)</w:t>
            </w:r>
          </w:p>
        </w:tc>
      </w:tr>
      <w:tr>
        <w:tc>
          <w:tcPr>
            <w:tcW w:type="dxa" w:w="3642"/>
            <w:shd w:val="clear" w:color="auto" w:fill="FFD9A0"/>
          </w:tcPr>
          <w:p>
            <w:r>
              <w:rPr>
                <w:b/>
                <w:sz w:val="20"/>
              </w:rPr>
              <w:t>TINGGI</w:t>
            </w:r>
          </w:p>
        </w:tc>
        <w:tc>
          <w:tcPr>
            <w:tcW w:type="dxa" w:w="3642"/>
            <w:shd w:val="clear" w:color="auto" w:fill="FFD9A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642"/>
            <w:shd w:val="clear" w:color="auto" w:fill="FFD9A0"/>
          </w:tcPr>
          <w:p>
            <w:r>
              <w:rPr>
                <w:sz w:val="20"/>
              </w:rPr>
              <w:t>12-16</w:t>
            </w:r>
          </w:p>
        </w:tc>
        <w:tc>
          <w:tcPr>
            <w:tcW w:type="dxa" w:w="3642"/>
            <w:shd w:val="clear" w:color="auto" w:fill="FFD9A0"/>
          </w:tcPr>
          <w:p>
            <w:r>
              <w:rPr>
                <w:sz w:val="20"/>
              </w:rPr>
              <w:t>30 hari</w:t>
            </w:r>
          </w:p>
        </w:tc>
      </w:tr>
      <w:tr>
        <w:tc>
          <w:tcPr>
            <w:tcW w:type="dxa" w:w="3642"/>
            <w:shd w:val="clear" w:color="auto" w:fill="FFF9C4"/>
          </w:tcPr>
          <w:p>
            <w:r>
              <w:rPr>
                <w:b/>
                <w:sz w:val="20"/>
              </w:rPr>
              <w:t>SEDANG</w:t>
            </w:r>
          </w:p>
        </w:tc>
        <w:tc>
          <w:tcPr>
            <w:tcW w:type="dxa" w:w="3642"/>
            <w:shd w:val="clear" w:color="auto" w:fill="FFF9C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642"/>
            <w:shd w:val="clear" w:color="auto" w:fill="FFF9C4"/>
          </w:tcPr>
          <w:p>
            <w:r>
              <w:rPr>
                <w:sz w:val="20"/>
              </w:rPr>
              <w:t>6-9</w:t>
            </w:r>
          </w:p>
        </w:tc>
        <w:tc>
          <w:tcPr>
            <w:tcW w:type="dxa" w:w="3642"/>
            <w:shd w:val="clear" w:color="auto" w:fill="FFF9C4"/>
          </w:tcPr>
          <w:p>
            <w:r>
              <w:rPr>
                <w:sz w:val="20"/>
              </w:rPr>
              <w:t>90 hari</w:t>
            </w:r>
          </w:p>
        </w:tc>
      </w:tr>
      <w:tr>
        <w:tc>
          <w:tcPr>
            <w:tcW w:type="dxa" w:w="3642"/>
            <w:shd w:val="clear" w:color="auto" w:fill="C8E6C9"/>
          </w:tcPr>
          <w:p>
            <w:r>
              <w:rPr>
                <w:b/>
                <w:sz w:val="20"/>
              </w:rPr>
              <w:t>RENDAH</w:t>
            </w:r>
          </w:p>
        </w:tc>
        <w:tc>
          <w:tcPr>
            <w:tcW w:type="dxa" w:w="3642"/>
            <w:shd w:val="clear" w:color="auto" w:fill="C8E6C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642"/>
            <w:shd w:val="clear" w:color="auto" w:fill="C8E6C9"/>
          </w:tcPr>
          <w:p>
            <w:r>
              <w:rPr>
                <w:sz w:val="20"/>
              </w:rPr>
              <w:t>1-4</w:t>
            </w:r>
          </w:p>
        </w:tc>
        <w:tc>
          <w:tcPr>
            <w:tcW w:type="dxa" w:w="3642"/>
            <w:shd w:val="clear" w:color="auto" w:fill="C8E6C9"/>
          </w:tcPr>
          <w:p>
            <w:r>
              <w:rPr>
                <w:sz w:val="20"/>
              </w:rPr>
              <w:t>180 hari / pemantauan rutin</w:t>
            </w:r>
          </w:p>
        </w:tc>
      </w:tr>
    </w:tbl>
    <w:p/>
    <w:p>
      <w:pPr>
        <w:spacing w:before="200" w:after="120"/>
      </w:pPr>
      <w:r>
        <w:rPr>
          <w:b/>
          <w:color w:val="2E74B5"/>
          <w:sz w:val="24"/>
        </w:rPr>
        <w:t>3.2 Rencana Penanganan Detail per Risiko</w:t>
      </w:r>
    </w:p>
    <w:p>
      <w:pPr>
        <w:spacing w:before="40" w:after="80"/>
      </w:pPr>
      <w:r>
        <w:rPr>
          <w:sz w:val="22"/>
        </w:rPr>
        <w:t>Berikut adalah rencana penanganan detail untuk risiko-risiko yang memerlukan tindakan: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Tindakan Penanganan</w:t>
            </w:r>
          </w:p>
        </w:tc>
        <w:tc>
          <w:tcPr>
            <w:tcW w:type="dxa" w:w="24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Penanggungjawab</w:t>
            </w:r>
          </w:p>
        </w:tc>
        <w:tc>
          <w:tcPr>
            <w:tcW w:type="dxa" w:w="24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Target Selesai</w:t>
            </w:r>
          </w:p>
        </w:tc>
        <w:tc>
          <w:tcPr>
            <w:tcW w:type="dxa" w:w="24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24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R-001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Implementasi solusi PAM (Privileged Access Management) enterprise; terapkan DLP (Data Loss Prevention); aktifkan UEBA untuk deteksi anomali perilaku pengguna; audit hak akses bulanan; review akses nasabah data setiap 6 bulan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CISO, Kepala IT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500-800 juta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R-002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Deploy EDR/XDR enterprise; implementasi email security gateway dengan sandboxing; percepat patch management cycle; isolasi backup environment dari jaringan produksi; lakukan tabletop exercise ransomware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Kepala IT, SOC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Q1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400-600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R-003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Kontrak layanan DDoS mitigation (CDN/scrubbing center); implementasi rate limiting; beli asuransi siber (cyber insurance)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Kepala IT, Keuangan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200-400 juta/tahun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R-004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Implementasi SAST/DAST dalam CI/CD pipeline; deploy WAF enterprise; lakukan penetration testing tahunan oleh pihak ketiga; wajibkan secure coding training untuk developer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Kepala IT, Tim Dev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300-500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R-005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Implementasi Database Activity Monitoring (DAM); terapkan parameterized queries dan stored procedures; segmentasi database dari application server; enkripsi database sensitif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DBA, Kepala IT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Q1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200-350 juta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R-006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Implementasi DMARC/DKIM/SPF penuh; deploy email security gateway; lakukan simulasi phishing triwulan; wajibkan MFA untuk akses email; pelatihan BEC awareness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Kepala IT, CISO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Q1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150-250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R-007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Implementasi segregasi tugas dalam sistem keuangan; aktifkan audit trail komprehensif; terapkan 4-eyes principle untuk transaksi &gt; threshold; review akses sistem keuangan bulanan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CFO, Kepala IT, Audit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100-200 juta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R-008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Implementasi backup otomatis dengan verifikasi integritas; lakukan DR drill setengah tahunan; update dan latih prosedur DR; pastikan RTO/RPO tercapai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Kepala IT, CISO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Q1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200-300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R-009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Implementasi proses vendor security assessment formal; terapkan PAM untuk akses vendor; monitor aktivitas vendor secara real-time; pastikan klausul keamanan dalam semua kontrak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Procurement, CISO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100-150 juta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R-010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Implementasi Cloud Security Posture Management (CSPM); terapkan cloud security policy baseline; latih tim DevSecOps; audit konfigurasi cloud bulanan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Kepala IT, CISO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200-300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R-012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Implementasi HSM (Hardware Security Module) untuk penyimpanan kunci; deploy certificate lifecycle management platform; otomatisasi renewal sertifikat; inventarisasi semua sertifikat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Kepala IT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250-400 juta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R-013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Upgrade sistem kontrol akses fisik ke multi-faktor (badge + PIN/biometrik); pastikan CCTV coverage 100% area kritis; pertimbangkan anti-tailgating system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Fasilitas, IT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150-300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R-015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Implementasi micro-segmentation jaringan; mulai Zero Trust Architecture roadmap; deploy NDR (Network Detection &amp; Response)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Kepala IT, CISO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Q3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400-700 juta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</w:tcPr>
          <w:p>
            <w:r>
              <w:rPr>
                <w:b/>
                <w:color w:val="1F497D"/>
                <w:sz w:val="16"/>
              </w:rPr>
              <w:t>R-018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Lakukan data discovery dan mapping lengkap; bentuk dan latih tim DPO; implementasi privasi by design; update privacy policy dan data retention policy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DPO, Legal, CISO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Q1 2026</w:t>
            </w:r>
          </w:p>
        </w:tc>
        <w:tc>
          <w:tcPr>
            <w:tcW w:type="dxa" w:w="2428"/>
          </w:tcPr>
          <w:p>
            <w:r>
              <w:rPr>
                <w:sz w:val="16"/>
              </w:rPr>
              <w:t>Rp 150-300 juta</w:t>
            </w:r>
          </w:p>
        </w:tc>
        <w:tc>
          <w:tcPr>
            <w:tcW w:type="dxa" w:w="2428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  <w:tr>
        <w:tc>
          <w:tcPr>
            <w:tcW w:type="dxa" w:w="2428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R-020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Pastikan geo-redundant data center operasional; lakukan BCP testing tahunan; beli asuransi bisnis yang mencakup gangguan IT; update BCP dokumen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Kepala IT, CISO, CFO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Q2 2026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sz w:val="16"/>
              </w:rPr>
              <w:t>Rp 300-500 juta/tahun</w:t>
            </w:r>
          </w:p>
        </w:tc>
        <w:tc>
          <w:tcPr>
            <w:tcW w:type="dxa" w:w="2428"/>
            <w:shd w:val="clear" w:color="auto" w:fill="DEEAF1"/>
          </w:tcPr>
          <w:p>
            <w:r>
              <w:rPr>
                <w:color w:val="0070C0"/>
                <w:sz w:val="16"/>
              </w:rPr>
              <w:t>Direncanakan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4. PENILAIAN RISIKO RESIDUAL</w:t>
      </w:r>
    </w:p>
    <w:p>
      <w:pPr>
        <w:spacing w:before="40" w:after="80"/>
      </w:pPr>
      <w:r>
        <w:rPr>
          <w:sz w:val="22"/>
        </w:rPr>
        <w:t>Setelah penerapan kontrol yang direncanakan, berikut adalah perkiraan tingkat risiko residual: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Skor Awal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Level Awal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Skor Residual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Level Residual</w:t>
            </w:r>
          </w:p>
        </w:tc>
        <w:tc>
          <w:tcPr>
            <w:tcW w:type="dxa" w:w="208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Penerimaan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R-001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Data Nasabah &amp; Polis</w:t>
              <w:br/>
              <w:t>(Kebocoran data oleh pihak dalam (Insider...)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R-002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Sistem Administrasi Polis</w:t>
              <w:br/>
              <w:t>(Serangan Ransomware)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R-003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Infrastruktur Jaringan</w:t>
              <w:br/>
              <w:t>(Serangan DDoS pada layanan online)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16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R-004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Aplikasi Web/Mobile</w:t>
              <w:br/>
              <w:t>(Eksploitasi kerentanan aplikasi (OWASP T...)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R-005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Database Nasabah</w:t>
              <w:br/>
              <w:t>(SQL Injection / Database Attack)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R-006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Email &amp; Komunikasi</w:t>
              <w:br/>
              <w:t>(Serangan Phishing / Business Email Compr...)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R-007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Sistem Keuangan</w:t>
              <w:br/>
              <w:t>(Manipulasi data keuangan oleh pihak tak ...)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R-008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Backup &amp; Recovery</w:t>
              <w:br/>
              <w:t>(Kegagalan pemulihan data setelah bencana)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R-009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Pihak Ketiga / Vendor</w:t>
              <w:br/>
              <w:t>(Kompromi keamanan melalui vendor (Supply...)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R-010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Infrastruktur Cloud</w:t>
              <w:br/>
              <w:t>(Misconfiguration cloud yang mengekspos d...)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R-011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Perangkat Endpoint</w:t>
              <w:br/>
              <w:t>(Malware/Spyware pada perangkat karyawan)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R-012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Kunci Enkripsi &amp; Sertifikat</w:t>
              <w:br/>
              <w:t>(Pencurian atau kedaluwarsa kunci kriptog...)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R-013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Data Center Fisik</w:t>
              <w:br/>
              <w:t>(Akses fisik tidak sah ke ruang server)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R-014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SDM - Karyawan</w:t>
              <w:br/>
              <w:t>(Karyawan tidak menyadari kebijakan keama...)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R-015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Jaringan Internal</w:t>
              <w:br/>
              <w:t>(Lateral movement setelah kompromi awal)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R-016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Log &amp; Monitoring</w:t>
              <w:br/>
              <w:t>(Kegagalan deteksi insiden siber)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R-017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Kebijakan &amp; Prosedur</w:t>
              <w:br/>
              <w:t>(Ketidakpatuhan terhadap regulasi OJK)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R-018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Data Pribadi Nasabah</w:t>
              <w:br/>
              <w:t>(Pelanggaran UU Perlindungan Data Pribadi)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2081"/>
            <w:shd w:val="clear" w:color="auto" w:fill="FFD9A0"/>
          </w:tcPr>
          <w:p>
            <w:r>
              <w:rPr>
                <w:b/>
                <w:sz w:val="16"/>
              </w:rPr>
              <w:t>TINGGI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R-019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Sistem Aktuaria</w:t>
              <w:br/>
              <w:t>(Manipulasi data aktuaria yang berdampak ...)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  <w:shd w:val="clear" w:color="auto" w:fill="DEEAF1"/>
          </w:tcPr>
          <w:p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081"/>
          </w:tcPr>
          <w:p>
            <w:r>
              <w:rPr>
                <w:b/>
                <w:sz w:val="16"/>
              </w:rPr>
              <w:t>R-020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Kelangsungan Bisnis</w:t>
              <w:br/>
              <w:t>(Gempa bumi/bencana alam yang merusak dat...)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2081"/>
            <w:shd w:val="clear" w:color="auto" w:fill="FFF9C4"/>
          </w:tcPr>
          <w:p>
            <w:r>
              <w:rPr>
                <w:b/>
                <w:sz w:val="16"/>
              </w:rPr>
              <w:t>SEDANG</w:t>
            </w:r>
          </w:p>
        </w:tc>
        <w:tc>
          <w:tcPr>
            <w:tcW w:type="dxa" w:w="2081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2081"/>
            <w:shd w:val="clear" w:color="auto" w:fill="C8E6C9"/>
          </w:tcPr>
          <w:p>
            <w:r>
              <w:rPr>
                <w:b/>
                <w:sz w:val="16"/>
              </w:rPr>
              <w:t>RENDAH</w:t>
            </w:r>
          </w:p>
        </w:tc>
        <w:tc>
          <w:tcPr>
            <w:tcW w:type="dxa" w:w="2081"/>
          </w:tcPr>
          <w:p>
            <w:r>
              <w:rPr>
                <w:sz w:val="16"/>
              </w:rPr>
              <w:t>Diterima</w:t>
            </w:r>
          </w:p>
        </w:tc>
      </w:tr>
    </w:tbl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5. REFERENSI KE PERNYATAAN PENERAPAN (SoA)</w:t>
      </w:r>
    </w:p>
    <w:p>
      <w:pPr>
        <w:spacing w:before="40" w:after="80"/>
      </w:pPr>
      <w:r>
        <w:rPr>
          <w:sz w:val="22"/>
        </w:rPr>
        <w:t>Kontrol-kontrol keamanan informasi yang dipilih untuk menangani risiko yang diidentifikasi didokumentasikan secara lengkap dalam dokumen Statement of Applicability (SoA) PT Equity Life Indonesia (dokumen nomor ISMS-SOA-001). Dokumen SoA memuat:</w:t>
      </w:r>
    </w:p>
    <w:p>
      <w:pPr>
        <w:pStyle w:val="ListBullet"/>
        <w:spacing w:before="40" w:after="40"/>
        <w:ind w:left="567"/>
      </w:pPr>
      <w:r>
        <w:rPr>
          <w:sz w:val="22"/>
        </w:rPr>
        <w:t>Daftar lengkap 93 kontrol dari ISO/IEC 27001:2022 Annex A.</w:t>
      </w:r>
    </w:p>
    <w:p>
      <w:pPr>
        <w:pStyle w:val="ListBullet"/>
        <w:spacing w:before="40" w:after="40"/>
        <w:ind w:left="567"/>
      </w:pPr>
      <w:r>
        <w:rPr>
          <w:sz w:val="22"/>
        </w:rPr>
        <w:t>Status penerapan (diterapkan/dalam proses/tidak diterapkan) untuk setiap kontrol.</w:t>
      </w:r>
    </w:p>
    <w:p>
      <w:pPr>
        <w:pStyle w:val="ListBullet"/>
        <w:spacing w:before="40" w:after="40"/>
        <w:ind w:left="567"/>
      </w:pPr>
      <w:r>
        <w:rPr>
          <w:sz w:val="22"/>
        </w:rPr>
        <w:t>Justifikasi untuk setiap kontrol yang diterapkan maupun yang dikecualikan.</w:t>
      </w:r>
    </w:p>
    <w:p>
      <w:pPr>
        <w:pStyle w:val="ListBullet"/>
        <w:spacing w:before="40" w:after="40"/>
        <w:ind w:left="567"/>
      </w:pPr>
      <w:r>
        <w:rPr>
          <w:sz w:val="22"/>
        </w:rPr>
        <w:t>Referensi silang antara kontrol dengan risiko yang ditangani.</w:t>
      </w:r>
    </w:p>
    <w:p/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6. JADWAL TINJAUAN DAN PEMBARUAN</w:t>
      </w:r>
    </w:p>
    <w:p>
      <w:pPr>
        <w:spacing w:before="40" w:after="80"/>
      </w:pPr>
      <w:r>
        <w:rPr>
          <w:sz w:val="22"/>
        </w:rPr>
        <w:t>Penilaian risiko ini akan ditinjau dan diperbarui sesuai jadwal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Kondisi Pemicu Tinjauan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Penanggungjawab</w:t>
            </w:r>
          </w:p>
        </w:tc>
        <w:tc>
          <w:tcPr>
            <w:tcW w:type="dxa" w:w="364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Proses</w:t>
            </w:r>
          </w:p>
        </w:tc>
      </w:tr>
      <w:tr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Tinjauan berkala terjadwal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Setahun sekali (Januari)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CISO, Risk Manager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Penilaian ulang penuh semua risiko</w:t>
            </w:r>
          </w:p>
        </w:tc>
      </w:tr>
      <w:tr>
        <w:tc>
          <w:tcPr>
            <w:tcW w:type="dxa" w:w="3642"/>
          </w:tcPr>
          <w:p>
            <w:r>
              <w:rPr>
                <w:sz w:val="20"/>
              </w:rPr>
              <w:t>Perubahan signifikan pada sistem TI</w:t>
            </w:r>
          </w:p>
        </w:tc>
        <w:tc>
          <w:tcPr>
            <w:tcW w:type="dxa" w:w="3642"/>
          </w:tcPr>
          <w:p>
            <w:r>
              <w:rPr>
                <w:sz w:val="20"/>
              </w:rPr>
              <w:t>Setiap ada perubahan besar</w:t>
            </w:r>
          </w:p>
        </w:tc>
        <w:tc>
          <w:tcPr>
            <w:tcW w:type="dxa" w:w="3642"/>
          </w:tcPr>
          <w:p>
            <w:r>
              <w:rPr>
                <w:sz w:val="20"/>
              </w:rPr>
              <w:t>Kepala IT, CISO</w:t>
            </w:r>
          </w:p>
        </w:tc>
        <w:tc>
          <w:tcPr>
            <w:tcW w:type="dxa" w:w="3642"/>
          </w:tcPr>
          <w:p>
            <w:r>
              <w:rPr>
                <w:sz w:val="20"/>
              </w:rPr>
              <w:t>Penilaian risiko untuk perubahan spesifik</w:t>
            </w:r>
          </w:p>
        </w:tc>
      </w:tr>
      <w:tr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Insiden keamanan signifikan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Setelah insiden P1/P2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CISO, Incident Response Team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Lessons learned, update register risiko</w:t>
            </w:r>
          </w:p>
        </w:tc>
      </w:tr>
      <w:tr>
        <w:tc>
          <w:tcPr>
            <w:tcW w:type="dxa" w:w="3642"/>
          </w:tcPr>
          <w:p>
            <w:r>
              <w:rPr>
                <w:sz w:val="20"/>
              </w:rPr>
              <w:t>Perubahan regulasi baru</w:t>
            </w:r>
          </w:p>
        </w:tc>
        <w:tc>
          <w:tcPr>
            <w:tcW w:type="dxa" w:w="3642"/>
          </w:tcPr>
          <w:p>
            <w:r>
              <w:rPr>
                <w:sz w:val="20"/>
              </w:rPr>
              <w:t>Setelah regulasi diterbitkan</w:t>
            </w:r>
          </w:p>
        </w:tc>
        <w:tc>
          <w:tcPr>
            <w:tcW w:type="dxa" w:w="3642"/>
          </w:tcPr>
          <w:p>
            <w:r>
              <w:rPr>
                <w:sz w:val="20"/>
              </w:rPr>
              <w:t>CISO, Kepatuhan</w:t>
            </w:r>
          </w:p>
        </w:tc>
        <w:tc>
          <w:tcPr>
            <w:tcW w:type="dxa" w:w="3642"/>
          </w:tcPr>
          <w:p>
            <w:r>
              <w:rPr>
                <w:sz w:val="20"/>
              </w:rPr>
              <w:t>Gap assessment dan update kontrol</w:t>
            </w:r>
          </w:p>
        </w:tc>
      </w:tr>
      <w:tr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Perubahan lanskap ancaman signifikan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Sesuai kebutuhan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CISO, SOC</w:t>
            </w:r>
          </w:p>
        </w:tc>
        <w:tc>
          <w:tcPr>
            <w:tcW w:type="dxa" w:w="3642"/>
            <w:shd w:val="clear" w:color="auto" w:fill="DEEAF1"/>
          </w:tcPr>
          <w:p>
            <w:r>
              <w:rPr>
                <w:sz w:val="20"/>
              </w:rPr>
              <w:t>Penilaian ancaman baru dan dampaknya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PT Equity Life Indonesia  |  ISMS-RA-001  |  Februari 2026  |  RAHASIA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497D"/>
        <w:sz w:val="16"/>
      </w:rPr>
      <w:t>PT Equity Life Indonesia  |  Penilaian dan Penanganan Risiko Keamanan Informasi  |  ISMS-RA-001  |  Versi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