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366092"/>
          <w:sz w:val="32"/>
          <w:szCs w:val="32"/>
        </w:rPr>
        <w:t xml:space="preserve">RISK REGISTER — DEPARTEMEN IT</w:t>
      </w:r>
    </w:p>
    <w:p>
      <w:pPr>
        <w:spacing w:after="60"/>
      </w:pPr>
      <w:r>
        <w:rPr>
          <w:sz w:val="22"/>
          <w:szCs w:val="22"/>
        </w:rPr>
        <w:t xml:space="preserve">Kerangka Manajemen Risiko Keamanan Informasi berdasarkan ISO 27001:2022</w:t>
      </w:r>
    </w:p>
    <w:p>
      <w:pPr>
        <w:spacing w:after="200"/>
      </w:pPr>
      <w:r>
        <w:rPr>
          <w:sz w:val="22"/>
          <w:szCs w:val="22"/>
        </w:rPr>
        <w:t xml:space="preserve">Tanggal Berlaku: Maret 2026  |  Versi: 1.0  |  Pemilik: CTIO / IT Governance</w:t>
      </w:r>
    </w:p>
    <w:p>
      <w:pPr>
        <w:pStyle w:val="Heading2"/>
      </w:pPr>
      <w:r>
        <w:rPr>
          <w:b/>
          <w:bCs/>
          <w:color w:val="366092"/>
          <w:sz w:val="26"/>
          <w:szCs w:val="26"/>
        </w:rPr>
        <w:t xml:space="preserve">EXECUTIVE SUMMARY</w:t>
      </w:r>
    </w:p>
    <w:p>
      <w:r>
        <w:rPr>
          <w:sz w:val="22"/>
          <w:szCs w:val="22"/>
        </w:rPr>
        <w:t xml:space="preserve">Risk register ini merupakan instrumen governance yang mendokumentasikan identifikasi, analisis, dan evaluasi risiko keamanan informasi pada seluruh aset kritis Departemen IT. Penyusunan dilakukan berdasarkan metodologi ISO/IEC 27005 dengan mengacu pada kontrol ISO 27001:2022 Annex A. Lingkup penilaian mencakup 20 skenario risiko yang memetakan ancaman dan kerentanan terhadap tiga dimensi utama keamanan informasi: Kerahasiaan (Confidentiality), Keutuhan (Integrity), dan Ketersediaan (Availability).</w:t>
      </w:r>
    </w:p>
    <w:p>
      <w:r>
        <w:t xml:space="preserve"/>
      </w:r>
    </w:p>
    <w:p>
      <w:pPr>
        <w:pStyle w:val="Heading2"/>
      </w:pPr>
      <w:r>
        <w:rPr>
          <w:b/>
          <w:bCs/>
          <w:color w:val="366092"/>
          <w:sz w:val="26"/>
          <w:szCs w:val="26"/>
        </w:rPr>
        <w:t xml:space="preserve">DISTRIBUSI RISIKO BERDASARKAN TINGKAT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Tingkat Risiko</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Skor</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Jumlah Risiko</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Target Mitigasi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Risiko</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Q1 2026</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 15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Risiko</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Q2 2026</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 11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 Risiko</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Q3 2026</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Risiko</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Q4 2026</w:t>
            </w:r>
          </w:p>
        </w:tc>
      </w:tr>
    </w:tbl>
    <w:p>
      <w:r>
        <w:t xml:space="preserve"/>
      </w:r>
    </w:p>
    <w:p>
      <w:pPr>
        <w:pStyle w:val="Heading2"/>
      </w:pPr>
      <w:r>
        <w:rPr>
          <w:b/>
          <w:bCs/>
          <w:color w:val="366092"/>
          <w:sz w:val="26"/>
          <w:szCs w:val="26"/>
        </w:rPr>
        <w:t xml:space="preserve">METODOLOGI PENILAIAN RISIKO</w:t>
      </w:r>
    </w:p>
    <w:p>
      <w:r>
        <w:rPr>
          <w:sz w:val="22"/>
          <w:szCs w:val="22"/>
        </w:rPr>
        <w:t xml:space="preserve">Penilaian risiko dilaksanakan dengan pendekatan kuantitatif semi-formal menggunakan formula:</w:t>
      </w:r>
    </w:p>
    <w:p>
      <w:r>
        <w:t xml:space="preserve"/>
      </w:r>
    </w:p>
    <w:p>
      <w:pPr>
        <w:ind w:left="720"/>
      </w:pPr>
      <w:r>
        <w:rPr>
          <w:b/>
          <w:bCs/>
          <w:sz w:val="22"/>
          <w:szCs w:val="22"/>
        </w:rPr>
        <w:t xml:space="preserve">Tingkat Risiko  =  Tingkat Dampak  ×  Tingkat Probabilitas</w:t>
      </w:r>
    </w:p>
    <w:p>
      <w:r>
        <w:t xml:space="preserve"/>
      </w:r>
    </w:p>
    <w:p>
      <w:r>
        <w:rPr>
          <w:sz w:val="22"/>
          <w:szCs w:val="22"/>
        </w:rPr>
        <w:t xml:space="preserve">Skala Dampak dan Probabilitas masing-masing menggunakan rentang 1 hingga 5, sehingga menghasilkan skor risiko maksimal 25. Kategori risiko ditetapkan berdasarkan threshold yang disepakati oleh Risk Owner dan divalidasi oleh IT Governance.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5040"/>
      </w:tblGrid>
      <w:tr>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Skala</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Definisi Dampak</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Definisi Probabilitas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 Minimal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tidak signifikan, tertangani oleh prosedur rutin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Kemungkinan terjadi &lt; 10%; memerlukan kombinasi faktor eksternal yang signifikan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 Minor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terbatas pada area spesifik, downtime parsial &lt; 2 jam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Kemungkinan terjadi 10–25%; diperlukan beberapa kondisi tertentu</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Moderate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signifikan, downtime parsial multi-area 2–8 jam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Kemungkinan terjadi 25–50%; beberapa faktor pendukung atau ketiadaan pengendalian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Major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kritis, downtime berkepanjangan, kehilangan revenue, compliance penalties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Kemungkinan terjadi 50–75%; ancaman aktif atau pengendalian tidak memadai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 Catastrophic</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ekstrem, potensi penutupan operasional, kerugian finansial masif, reputasi rusak</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Kemungkinan terjadi &gt; 75%; ancaman aktif atau pengendalian hampir tidak ada</w:t>
            </w:r>
          </w:p>
        </w:tc>
      </w:tr>
    </w:tbl>
    <w:p>
      <w:r>
        <w:t xml:space="preserve"/>
      </w:r>
    </w:p>
    <w:p>
      <w:pPr>
        <w:pStyle w:val="Heading2"/>
      </w:pPr>
      <w:r>
        <w:rPr>
          <w:b/>
          <w:bCs/>
          <w:color w:val="366092"/>
          <w:sz w:val="26"/>
          <w:szCs w:val="26"/>
        </w:rPr>
        <w:t xml:space="preserve">RISK APPETITE DAN RISK TOLERANCE</w:t>
      </w:r>
    </w:p>
    <w:p>
      <w:r>
        <w:rPr>
          <w:sz w:val="22"/>
          <w:szCs w:val="22"/>
        </w:rPr>
        <w:t xml:space="preserve">Organisasi menetapkan Risk Appetite pada skor risiko maksimal 9 (Dampak ≤ 3 dan Probabilitas ≤ 3) untuk risiko yang dapat diterima tanpa eskalasi formal. Setiap risiko dengan skor di atas threshold ini wajib memiliki rencana mitigasi yang terdokumentasi, disetujui oleh Risk Owner, dan dilaporkan kepada CTIO secara berkala.</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Kategori</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Risk Appetite</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Batas Toleransi</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Eskalasi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 (≥ 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Tidak Dapat Diterima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 2; Prob. ≤ 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 – Board Level</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(12–15)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Tidak Dapat Diterima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 2; Prob. ≤ 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Wajib – CTIO</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 (8–11)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Dapat Ditoleransi</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 3; Prob. ≤ 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Periodik – IT Governance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(&lt; 8)</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Diterima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Dampak ≤ 2; Prob. ≤ 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Monitoring – Risk Owner</w:t>
            </w:r>
          </w:p>
        </w:tc>
      </w:tr>
    </w:tbl>
    <w:p>
      <w:r>
        <w:t xml:space="preserve"/>
      </w:r>
    </w:p>
    <w:p>
      <w:r>
        <w:br w:type="page"/>
      </w:r>
    </w:p>
    <w:p>
      <w:pPr>
        <w:pStyle w:val="Heading2"/>
      </w:pPr>
      <w:r>
        <w:rPr>
          <w:b/>
          <w:bCs/>
          <w:color w:val="366092"/>
          <w:sz w:val="26"/>
          <w:szCs w:val="26"/>
        </w:rPr>
        <w:t xml:space="preserve">RINGKASAN RISIKO KRITIS DAN HIGH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1440"/>
        <w:gridCol w:w="1440"/>
        <w:gridCol w:w="720"/>
        <w:gridCol w:w="720"/>
        <w:gridCol w:w="720"/>
        <w:gridCol w:w="2520"/>
      </w:tblGrid>
      <w:tr>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No</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Penjabaran Risiko</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Nama Aset</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Kategori Risiko</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Dampak</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Prob.</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Skor</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Annex ISO</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Akses Tidak Terotorisasi terhadap Source Code Application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 Code Application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A.8.2.1; A.8.2.2; A.8.2.3; A.9.2.1</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Inadequate Vulnerability Management dalam CI/CD Pipeline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Script CI/CD Pipeline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A.12.6.1; A.12.5.1; A.14.1.1</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Insufficient Encryption of Sensitive Data dalam Development Tools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Development Tools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A.10.1.1; A.10.2.1; A.10.3.1</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Insufficient Data Classification dan Data Retention Policy Enforcement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Retention &amp; Disposal Rules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A.8.3.2; A.8.3.3; A.5.1.2</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Inadequate Endpoint Security dan Device Management Controls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Endpoint / PC &amp; Laptop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A.12.2.1; A.12.6.1; A.8.1.3</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Inadequate Security Awareness dan Phishing Attack Resilience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 Security Awareness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Operasional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A.6.3.1; A.6.3.2</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Intellectual Property Rights Infringement terhadap Aplikasi Proprietary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 Aplikasi</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Hukum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A.5.1.1; A.5.1.2; A.8.1.1</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Inadequate Incident Response dan Forensic Capability Implementation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Dokumen IRP &amp; Forensic Playbooks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Operasional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A.16.1.1; A.16.1.5</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Inadequate Database Access Controls dan Privileged Access Management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 Core System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A.8.2.2; A.8.2.4; A.12.4.1</w:t>
            </w:r>
          </w:p>
        </w:tc>
      </w:tr>
    </w:tbl>
    <w:p>
      <w:r>
        <w:t xml:space="preserve"/>
      </w:r>
    </w:p>
    <w:p>
      <w:pPr>
        <w:pStyle w:val="Heading2"/>
      </w:pPr>
      <w:r>
        <w:rPr>
          <w:b/>
          <w:bCs/>
          <w:color w:val="366092"/>
          <w:sz w:val="26"/>
          <w:szCs w:val="26"/>
        </w:rPr>
        <w:t xml:space="preserve">REFERENSI KONTROL ISO 27001:2022 ANNEX A</w:t>
      </w:r>
    </w:p>
    <w:p>
      <w:r>
        <w:rPr>
          <w:sz w:val="22"/>
          <w:szCs w:val="22"/>
        </w:rPr>
        <w:t xml:space="preserve">Seluruh risiko yang teridentifikasi dalam dokumen ini direferensikan pada klausul kontrol ISO 27001:2022 Annex A yang relevan. Referensi ini menjadi dasar penetapan Statement of Applicability (SoA) dan pengembangan rencana perlakuan risiko yang selaras dengan persyaratan standar.</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Klausul Annex A</w:t>
            </w:r>
          </w:p>
        </w:tc>
        <w:tc>
          <w:tcPr>
            <w:tcW w:type="auto" w:w="1"/>
            <w:tcBorders>
              <w:top w:val="single" w:color="CCCCCC" w:sz="1"/>
              <w:left w:val="single" w:color="CCCCCC" w:sz="1"/>
              <w:bottom w:val="single" w:color="CCCCCC" w:sz="1"/>
              <w:right w:val="single" w:color="CCCCCC" w:sz="1"/>
            </w:tcBorders>
            <w:shd w:fill="366092" w:val="clear"/>
            <w:tcMar>
              <w:top w:type="dxa" w:w="80"/>
              <w:left w:type="dxa" w:w="120"/>
              <w:bottom w:type="dxa" w:w="80"/>
              <w:right w:type="dxa" w:w="120"/>
            </w:tcMar>
          </w:tcPr>
          <w:p>
            <w:r>
              <w:rPr>
                <w:b/>
                <w:bCs/>
                <w:color w:val="FFFFFF"/>
                <w:sz w:val="20"/>
                <w:szCs w:val="20"/>
              </w:rPr>
              <w:t xml:space="preserve">Deskripsi Kontrol</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A.5 – Organizational Controls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Kebijakan keamanan informasi, peran dan tanggung jawab, pengelolaan aset, dan manajemen risiko organisasi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A.6 – People Controls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Screening, perjanjian kerahasiaan, pelatihan security awareness, kompetensi, dan disiplin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A.8 – Asset Controls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Inventarisasi aset, klasifikasi informasi, manajemen media, dan kontrol fisik/lingkungan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A.9 – Access Control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Registrasi pengguna, hak akses istimewa, pengelolaan password, dan pembatasan akses informasi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A.10 – Cryptography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Kebijakan kriptografi dan manajemen kunci kriptografi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A.11 – Physical Security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Perimeter keamanan fisik, akses fisik, dan perlindungan fasilitas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A.12 – Operations Security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Perlindungan malware, manajemen kerentanan teknis, konfigurasi sistem, dan pengelolaan log</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A.13 – Communications Security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Pengelolaan jaringan dan segregasi jaringan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A.14 – System Development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Keamanan dalam pengembangan sistem, integrasi keamanan pada SDLC</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A.15 – Supplier Relationships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Keamanan hubungan dengan pemasok, persyaratan keamanan dalam kontrak vendor</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A.16 – Incident Management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Penanganan insiden keamanan informasi, peningkatan berkelanjutan</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A.17 – Business Continuity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Perencanaan dan implementasi kelangsungan keamanan informasi</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A.18 – Compliance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Kepatuhan terhadap kebijakan, audit keamanan informasi, dan regulasi</w:t>
            </w:r>
          </w:p>
        </w:tc>
      </w:tr>
    </w:tbl>
    <w:p>
      <w:r>
        <w:t xml:space="preserve"/>
      </w:r>
    </w:p>
    <w:p>
      <w:pPr>
        <w:pStyle w:val="Heading2"/>
      </w:pPr>
      <w:r>
        <w:rPr>
          <w:b/>
          <w:bCs/>
          <w:color w:val="366092"/>
          <w:sz w:val="26"/>
          <w:szCs w:val="26"/>
        </w:rPr>
        <w:t xml:space="preserve">CATATAN REVIEW DAN PEMBARUAN</w:t>
      </w:r>
    </w:p>
    <w:p>
      <w:r>
        <w:rPr>
          <w:sz w:val="22"/>
          <w:szCs w:val="22"/>
        </w:rPr>
        <w:t xml:space="preserve">Risk register ini wajib dikaji ulang minimal setiap enam bulan, atau segera setelah terjadi perubahan signifikan pada: (1) infrastruktur IT, (2) landscape ancaman siber, (3) perubahan regulasi, atau (4) insiden keamanan informasi yang dikategorikan sebagai major atau critical. Pembaruan harus diotorisasi oleh Risk Owner dan diarsipkan sesuai ketentuan Document Control yang berlaku.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66092" w:sz="6" w:space="1"/>
      </w:pBdr>
    </w:pPr>
    <w:r>
      <w:rPr>
        <w:color w:val="666666"/>
        <w:sz w:val="18"/>
        <w:szCs w:val="18"/>
      </w:rPr>
      <w:t xml:space="preserve">Halaman </w:t>
    </w:r>
    <w:r>
      <w:rPr>
        <w:color w:val="666666"/>
        <w:sz w:val="18"/>
        <w:szCs w:val="18"/>
      </w:rPr>
      <w:fldChar w:fldCharType="begin"/>
      <w:instrText xml:space="preserve">PAGE</w:instrText>
      <w:fldChar w:fldCharType="separate"/>
      <w:fldChar w:fldCharType="end"/>
    </w:r>
    <w:r>
      <w:rPr>
        <w:color w:val="666666"/>
        <w:sz w:val="18"/>
        <w:szCs w:val="18"/>
      </w:rPr>
      <w:t xml:space="preserve">  |  Dokumen ini bersifat rahasia dan hanya untuk keperluan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66092" w:sz="6" w:space="1"/>
      </w:pBdr>
    </w:pPr>
    <w:r>
      <w:rPr>
        <w:b/>
        <w:bCs/>
        <w:color w:val="366092"/>
        <w:sz w:val="20"/>
        <w:szCs w:val="20"/>
      </w:rPr>
      <w:t xml:space="preserve">RISK REGISTER IT DEPARTMENT</w:t>
    </w:r>
    <w:r>
      <w:rPr>
        <w:color w:val="666666"/>
        <w:sz w:val="18"/>
        <w:szCs w:val="18"/>
      </w:rPr>
      <w:t xml:space="preserve">  |  ISO 27001:2022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2026-03-15T01:59:36.041Z</dcterms:created>
  <dcterms:modified xsi:type="dcterms:W3CDTF">2026-03-15T01:59:36.041Z</dcterms:modified>
</cp:coreProperties>
</file>

<file path=docProps/custom.xml><?xml version="1.0" encoding="utf-8"?>
<Properties xmlns="http://schemas.openxmlformats.org/officeDocument/2006/custom-properties" xmlns:vt="http://schemas.openxmlformats.org/officeDocument/2006/docPropsVTypes"/>
</file>