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55"/>
      </w:tblGrid>
      <w:tr>
        <w:tc>
          <w:tcPr>
            <w:tcW w:type="dxa" w:w="9355"/>
            <w:shd w:val="clear" w:color="auto" w:fill="1F497D"/>
          </w:tcPr>
          <w:p>
            <w:pPr>
              <w:spacing w:before="400" w:after="400"/>
              <w:jc w:val="center"/>
            </w:pPr>
            <w:r>
              <w:rPr>
                <w:b/>
                <w:color w:val="FFFFFF"/>
                <w:sz w:val="36"/>
              </w:rPr>
              <w:t>PT EQUITY LIFE INDONESIA</w:t>
            </w:r>
          </w:p>
        </w:tc>
      </w:tr>
    </w:tbl>
    <w:p/>
    <w:p>
      <w:pPr>
        <w:jc w:val="center"/>
      </w:pPr>
      <w:r>
        <w:rPr>
          <w:color w:val="2E74B5"/>
          <w:sz w:val="26"/>
        </w:rPr>
        <w:t>ISO/IEC 27001:2022</w:t>
      </w:r>
    </w:p>
    <w:p/>
    <w:p>
      <w:pPr>
        <w:jc w:val="center"/>
      </w:pPr>
      <w:r>
        <w:rPr>
          <w:b/>
          <w:color w:val="1F497D"/>
          <w:sz w:val="40"/>
        </w:rPr>
        <w:t>Standar Arsitektur Sistem Aman &amp; Prinsip-Prinsip Rekayasa</w:t>
        <w:br/>
        <w:t>Secure System Architecture and Engineering Principles</w:t>
      </w:r>
    </w:p>
    <w:p>
      <w:pPr>
        <w:jc w:val="center"/>
      </w:pPr>
      <w:r>
        <w:rPr>
          <w:color w:val="2E74B5"/>
          <w:sz w:val="24"/>
        </w:rPr>
        <w:t>ISO/IEC 27001:2022 Control 8.27</w:t>
      </w:r>
    </w:p>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DEEAF1"/>
          </w:tcPr>
          <w:p>
            <w:r>
              <w:rPr>
                <w:b/>
                <w:color w:val="1F497D"/>
                <w:sz w:val="20"/>
              </w:rPr>
              <w:t>Nomor Dokumen</w:t>
            </w:r>
          </w:p>
        </w:tc>
        <w:tc>
          <w:tcPr>
            <w:tcW w:type="dxa" w:w="4677"/>
          </w:tcPr>
          <w:p>
            <w:r>
              <w:rPr>
                <w:sz w:val="20"/>
              </w:rPr>
              <w:t>ISMS-SAE-001</w:t>
            </w:r>
          </w:p>
        </w:tc>
      </w:tr>
      <w:tr>
        <w:tc>
          <w:tcPr>
            <w:tcW w:type="dxa" w:w="4677"/>
            <w:shd w:val="clear" w:color="auto" w:fill="DEEAF1"/>
          </w:tcPr>
          <w:p>
            <w:r>
              <w:rPr>
                <w:b/>
                <w:color w:val="1F497D"/>
                <w:sz w:val="20"/>
              </w:rPr>
              <w:t>Versi</w:t>
            </w:r>
          </w:p>
        </w:tc>
        <w:tc>
          <w:tcPr>
            <w:tcW w:type="dxa" w:w="4677"/>
          </w:tcPr>
          <w:p>
            <w:r>
              <w:rPr>
                <w:sz w:val="20"/>
              </w:rPr>
              <w:t>1.0</w:t>
            </w:r>
          </w:p>
        </w:tc>
      </w:tr>
      <w:tr>
        <w:tc>
          <w:tcPr>
            <w:tcW w:type="dxa" w:w="4677"/>
            <w:shd w:val="clear" w:color="auto" w:fill="DEEAF1"/>
          </w:tcPr>
          <w:p>
            <w:r>
              <w:rPr>
                <w:b/>
                <w:color w:val="1F497D"/>
                <w:sz w:val="20"/>
              </w:rPr>
              <w:t>Tanggal Efektif</w:t>
            </w:r>
          </w:p>
        </w:tc>
        <w:tc>
          <w:tcPr>
            <w:tcW w:type="dxa" w:w="4677"/>
          </w:tcPr>
          <w:p>
            <w:r>
              <w:rPr>
                <w:sz w:val="20"/>
              </w:rPr>
              <w:t>Maret 2026</w:t>
            </w:r>
          </w:p>
        </w:tc>
      </w:tr>
      <w:tr>
        <w:tc>
          <w:tcPr>
            <w:tcW w:type="dxa" w:w="4677"/>
            <w:shd w:val="clear" w:color="auto" w:fill="DEEAF1"/>
          </w:tcPr>
          <w:p>
            <w:r>
              <w:rPr>
                <w:b/>
                <w:color w:val="1F497D"/>
                <w:sz w:val="20"/>
              </w:rPr>
              <w:t>Klasifikasi</w:t>
            </w:r>
          </w:p>
        </w:tc>
        <w:tc>
          <w:tcPr>
            <w:tcW w:type="dxa" w:w="4677"/>
          </w:tcPr>
          <w:p>
            <w:r>
              <w:rPr>
                <w:sz w:val="20"/>
              </w:rPr>
              <w:t>RAHASIA / CONFIDENTIAL</w:t>
            </w:r>
          </w:p>
        </w:tc>
      </w:tr>
    </w:tbl>
    <w:p>
      <w:r>
        <w:br w:type="page"/>
      </w:r>
    </w:p>
    <w:p>
      <w:pPr>
        <w:spacing w:before="280" w:after="120"/>
        <w:pBdr>
          <w:bottom w:val="single" w:sz="6" w:color="1F497D"/>
        </w:pBdr>
      </w:pPr>
      <w:r>
        <w:rPr>
          <w:b/>
          <w:color w:val="1F497D"/>
          <w:sz w:val="28"/>
        </w:rPr>
        <w:t>PENGENDALIAN DOKUMEN</w:t>
      </w:r>
    </w:p>
    <w:p>
      <w:pPr>
        <w:spacing w:before="200" w:after="120"/>
      </w:pPr>
      <w:r>
        <w:rPr>
          <w:b/>
          <w:color w:val="2E74B5"/>
          <w:sz w:val="24"/>
        </w:rPr>
        <w:t>Riwayat Revisi</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val="clear" w:color="auto" w:fill="1F497D"/>
          </w:tcPr>
          <w:p>
            <w:r>
              <w:rPr>
                <w:b/>
                <w:color w:val="FFFFFF"/>
                <w:sz w:val="18"/>
              </w:rPr>
              <w:t>Versi</w:t>
            </w:r>
          </w:p>
        </w:tc>
        <w:tc>
          <w:tcPr>
            <w:tcW w:type="dxa" w:w="1871"/>
            <w:shd w:val="clear" w:color="auto" w:fill="1F497D"/>
          </w:tcPr>
          <w:p>
            <w:r>
              <w:rPr>
                <w:b/>
                <w:color w:val="FFFFFF"/>
                <w:sz w:val="18"/>
              </w:rPr>
              <w:t>Tanggal</w:t>
            </w:r>
          </w:p>
        </w:tc>
        <w:tc>
          <w:tcPr>
            <w:tcW w:type="dxa" w:w="1871"/>
            <w:shd w:val="clear" w:color="auto" w:fill="1F497D"/>
          </w:tcPr>
          <w:p>
            <w:r>
              <w:rPr>
                <w:b/>
                <w:color w:val="FFFFFF"/>
                <w:sz w:val="18"/>
              </w:rPr>
              <w:t>Penyusun</w:t>
            </w:r>
          </w:p>
        </w:tc>
        <w:tc>
          <w:tcPr>
            <w:tcW w:type="dxa" w:w="1871"/>
            <w:shd w:val="clear" w:color="auto" w:fill="1F497D"/>
          </w:tcPr>
          <w:p>
            <w:r>
              <w:rPr>
                <w:b/>
                <w:color w:val="FFFFFF"/>
                <w:sz w:val="18"/>
              </w:rPr>
              <w:t>Pemeriksa</w:t>
            </w:r>
          </w:p>
        </w:tc>
        <w:tc>
          <w:tcPr>
            <w:tcW w:type="dxa" w:w="1871"/>
            <w:shd w:val="clear" w:color="auto" w:fill="1F497D"/>
          </w:tcPr>
          <w:p>
            <w:r>
              <w:rPr>
                <w:b/>
                <w:color w:val="FFFFFF"/>
                <w:sz w:val="18"/>
              </w:rPr>
              <w:t>Keterangan</w:t>
            </w:r>
          </w:p>
        </w:tc>
      </w:tr>
      <w:tr>
        <w:tc>
          <w:tcPr>
            <w:tcW w:type="dxa" w:w="1871"/>
            <w:shd w:val="clear" w:color="auto" w:fill="DEEAF1"/>
          </w:tcPr>
          <w:p>
            <w:r>
              <w:rPr>
                <w:sz w:val="18"/>
              </w:rPr>
              <w:t>1.0</w:t>
            </w:r>
          </w:p>
        </w:tc>
        <w:tc>
          <w:tcPr>
            <w:tcW w:type="dxa" w:w="1871"/>
            <w:shd w:val="clear" w:color="auto" w:fill="DEEAF1"/>
          </w:tcPr>
          <w:p>
            <w:r>
              <w:rPr>
                <w:sz w:val="18"/>
              </w:rPr>
              <w:t>Maret 2026</w:t>
            </w:r>
          </w:p>
        </w:tc>
        <w:tc>
          <w:tcPr>
            <w:tcW w:type="dxa" w:w="1871"/>
            <w:shd w:val="clear" w:color="auto" w:fill="DEEAF1"/>
          </w:tcPr>
          <w:p>
            <w:r>
              <w:rPr>
                <w:sz w:val="18"/>
              </w:rPr>
              <w:t>Chief Information Security Officer (CISO)</w:t>
            </w:r>
          </w:p>
        </w:tc>
        <w:tc>
          <w:tcPr>
            <w:tcW w:type="dxa" w:w="1871"/>
            <w:shd w:val="clear" w:color="auto" w:fill="DEEAF1"/>
          </w:tcPr>
          <w:p>
            <w:r>
              <w:rPr>
                <w:sz w:val="18"/>
              </w:rPr>
              <w:t>Direktur Operasional &amp; Teknologi</w:t>
            </w:r>
          </w:p>
        </w:tc>
        <w:tc>
          <w:tcPr>
            <w:tcW w:type="dxa" w:w="1871"/>
            <w:shd w:val="clear" w:color="auto" w:fill="DEEAF1"/>
          </w:tcPr>
          <w:p>
            <w:r>
              <w:rPr>
                <w:sz w:val="18"/>
              </w:rPr>
              <w:t>Penerbitan Pertama</w:t>
            </w:r>
          </w:p>
        </w:tc>
      </w:tr>
    </w:tbl>
    <w:p/>
    <w:p>
      <w:pPr>
        <w:spacing w:before="200" w:after="120"/>
      </w:pPr>
      <w:r>
        <w:rPr>
          <w:b/>
          <w:color w:val="2E74B5"/>
          <w:sz w:val="24"/>
        </w:rPr>
        <w:t>Persetujuan</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Peran</w:t>
            </w:r>
          </w:p>
        </w:tc>
        <w:tc>
          <w:tcPr>
            <w:tcW w:type="dxa" w:w="2339"/>
            <w:shd w:val="clear" w:color="auto" w:fill="1F497D"/>
          </w:tcPr>
          <w:p>
            <w:r>
              <w:rPr>
                <w:b/>
                <w:color w:val="FFFFFF"/>
                <w:sz w:val="18"/>
              </w:rPr>
              <w:t>Nama/Jabatan</w:t>
            </w:r>
          </w:p>
        </w:tc>
        <w:tc>
          <w:tcPr>
            <w:tcW w:type="dxa" w:w="2339"/>
            <w:shd w:val="clear" w:color="auto" w:fill="1F497D"/>
          </w:tcPr>
          <w:p>
            <w:r>
              <w:rPr>
                <w:b/>
                <w:color w:val="FFFFFF"/>
                <w:sz w:val="18"/>
              </w:rPr>
              <w:t>Tanda Tangan</w:t>
            </w:r>
          </w:p>
        </w:tc>
        <w:tc>
          <w:tcPr>
            <w:tcW w:type="dxa" w:w="2339"/>
            <w:shd w:val="clear" w:color="auto" w:fill="1F497D"/>
          </w:tcPr>
          <w:p>
            <w:r>
              <w:rPr>
                <w:b/>
                <w:color w:val="FFFFFF"/>
                <w:sz w:val="18"/>
              </w:rPr>
              <w:t>Tanggal</w:t>
            </w:r>
          </w:p>
        </w:tc>
      </w:tr>
      <w:tr>
        <w:tc>
          <w:tcPr>
            <w:tcW w:type="dxa" w:w="2339"/>
            <w:shd w:val="clear" w:color="auto" w:fill="DEEAF1"/>
          </w:tcPr>
          <w:p>
            <w:r>
              <w:rPr>
                <w:sz w:val="18"/>
              </w:rPr>
              <w:t>Penyusun</w:t>
            </w:r>
          </w:p>
        </w:tc>
        <w:tc>
          <w:tcPr>
            <w:tcW w:type="dxa" w:w="2339"/>
            <w:shd w:val="clear" w:color="auto" w:fill="DEEAF1"/>
          </w:tcPr>
          <w:p>
            <w:r>
              <w:rPr>
                <w:sz w:val="18"/>
              </w:rPr>
              <w:t>Chief Information Security Officer (CISO)</w:t>
            </w:r>
          </w:p>
        </w:tc>
        <w:tc>
          <w:tcPr>
            <w:tcW w:type="dxa" w:w="2339"/>
            <w:shd w:val="clear" w:color="auto" w:fill="DEEAF1"/>
          </w:tcPr>
          <w:p>
            <w:r>
              <w:rPr>
                <w:sz w:val="18"/>
              </w:rPr>
              <w:t>_______________</w:t>
            </w:r>
          </w:p>
        </w:tc>
        <w:tc>
          <w:tcPr>
            <w:tcW w:type="dxa" w:w="2339"/>
            <w:shd w:val="clear" w:color="auto" w:fill="DEEAF1"/>
          </w:tcPr>
          <w:p>
            <w:r>
              <w:rPr>
                <w:sz w:val="18"/>
              </w:rPr>
              <w:t>Maret 2026</w:t>
            </w:r>
          </w:p>
        </w:tc>
      </w:tr>
      <w:tr>
        <w:tc>
          <w:tcPr>
            <w:tcW w:type="dxa" w:w="2339"/>
            <w:shd w:val="clear" w:color="auto" w:fill="F2F7FB"/>
          </w:tcPr>
          <w:p>
            <w:r>
              <w:rPr>
                <w:sz w:val="18"/>
              </w:rPr>
              <w:t>Pemeriksa</w:t>
            </w:r>
          </w:p>
        </w:tc>
        <w:tc>
          <w:tcPr>
            <w:tcW w:type="dxa" w:w="2339"/>
            <w:shd w:val="clear" w:color="auto" w:fill="F2F7FB"/>
          </w:tcPr>
          <w:p>
            <w:r>
              <w:rPr>
                <w:sz w:val="18"/>
              </w:rPr>
              <w:t>Direktur Operasional &amp; Teknologi</w:t>
            </w:r>
          </w:p>
        </w:tc>
        <w:tc>
          <w:tcPr>
            <w:tcW w:type="dxa" w:w="2339"/>
            <w:shd w:val="clear" w:color="auto" w:fill="F2F7FB"/>
          </w:tcPr>
          <w:p>
            <w:r>
              <w:rPr>
                <w:sz w:val="18"/>
              </w:rPr>
              <w:t>_______________</w:t>
            </w:r>
          </w:p>
        </w:tc>
        <w:tc>
          <w:tcPr>
            <w:tcW w:type="dxa" w:w="2339"/>
            <w:shd w:val="clear" w:color="auto" w:fill="F2F7FB"/>
          </w:tcPr>
          <w:p>
            <w:r>
              <w:rPr>
                <w:sz w:val="18"/>
              </w:rPr>
              <w:t>Maret 2026</w:t>
            </w:r>
          </w:p>
        </w:tc>
      </w:tr>
      <w:tr>
        <w:tc>
          <w:tcPr>
            <w:tcW w:type="dxa" w:w="2339"/>
            <w:shd w:val="clear" w:color="auto" w:fill="DEEAF1"/>
          </w:tcPr>
          <w:p>
            <w:r>
              <w:rPr>
                <w:sz w:val="18"/>
              </w:rPr>
              <w:t>Menyetujui</w:t>
            </w:r>
          </w:p>
        </w:tc>
        <w:tc>
          <w:tcPr>
            <w:tcW w:type="dxa" w:w="2339"/>
            <w:shd w:val="clear" w:color="auto" w:fill="DEEAF1"/>
          </w:tcPr>
          <w:p>
            <w:r>
              <w:rPr>
                <w:sz w:val="18"/>
              </w:rPr>
              <w:t>Direktur Utama</w:t>
            </w:r>
          </w:p>
        </w:tc>
        <w:tc>
          <w:tcPr>
            <w:tcW w:type="dxa" w:w="2339"/>
            <w:shd w:val="clear" w:color="auto" w:fill="DEEAF1"/>
          </w:tcPr>
          <w:p>
            <w:r>
              <w:rPr>
                <w:sz w:val="18"/>
              </w:rPr>
              <w:t>_______________</w:t>
            </w:r>
          </w:p>
        </w:tc>
        <w:tc>
          <w:tcPr>
            <w:tcW w:type="dxa" w:w="2339"/>
            <w:shd w:val="clear" w:color="auto" w:fill="DEEAF1"/>
          </w:tcPr>
          <w:p>
            <w:r>
              <w:rPr>
                <w:sz w:val="18"/>
              </w:rPr>
              <w:t>Maret 2026</w:t>
            </w:r>
          </w:p>
        </w:tc>
      </w:tr>
    </w:tbl>
    <w:p>
      <w:r>
        <w:br w:type="page"/>
      </w:r>
    </w:p>
    <w:p>
      <w:pPr>
        <w:spacing w:before="280" w:after="120"/>
        <w:pBdr>
          <w:bottom w:val="single" w:sz="6" w:color="1F497D"/>
        </w:pBdr>
      </w:pPr>
      <w:r>
        <w:rPr>
          <w:b/>
          <w:color w:val="1F497D"/>
          <w:sz w:val="28"/>
        </w:rPr>
        <w:t>1. Tujuan</w:t>
      </w:r>
    </w:p>
    <w:p>
      <w:pPr>
        <w:spacing w:before="40" w:after="80"/>
      </w:pPr>
      <w:r>
        <w:rPr>
          <w:sz w:val="22"/>
        </w:rPr>
        <w:t>Dokumen ini menetapkan prinsip-prinsip wajib yang harus diterapkan dalam perancangan, pengembangan, dan pemeliharaan seluruh sistem informasi PT Equity Life Indonesia. Standar ini merupakan implementasi langsung dari ISO/IEC 27001:2022 Control 8.27 (Secure System Architecture and Engineering Principles) dan berlaku untuk semua proyek teknologi, baik yang dikembangkan secara internal maupun melalui pihak ketiga.</w:t>
      </w:r>
    </w:p>
    <w:p>
      <w:pPr>
        <w:spacing w:before="40" w:after="80"/>
      </w:pPr>
      <w:r>
        <w:rPr>
          <w:sz w:val="22"/>
        </w:rPr>
        <w:t>Tujuan utama dokumen ini adalah memastikan bahwa keamanan informasi diintegrasikan sejak awal siklus hidup sistem (Security by Design), bukan ditambahkan sebagai lapisan pelengkap setelah sistem dibangun. Pendekatan ini sejalan dengan regulasi OJK (POJK No. 11/2022 tentang Tata Kelola TI) dan praktik terbaik industri keuangan global.</w:t>
      </w:r>
    </w:p>
    <w:p>
      <w:pPr>
        <w:spacing w:before="280" w:after="120"/>
        <w:pBdr>
          <w:bottom w:val="single" w:sz="6" w:color="1F497D"/>
        </w:pBdr>
      </w:pPr>
      <w:r>
        <w:rPr>
          <w:b/>
          <w:color w:val="1F497D"/>
          <w:sz w:val="28"/>
        </w:rPr>
        <w:t>2. Ruang Lingkup</w:t>
      </w:r>
    </w:p>
    <w:p>
      <w:pPr>
        <w:spacing w:before="40" w:after="80"/>
      </w:pPr>
      <w:r>
        <w:rPr>
          <w:sz w:val="22"/>
        </w:rPr>
        <w:t>Standar ini berlaku untuk semua sistem informasi yang dioperasikan, dikembangkan, atau dikelola oleh PT Equity Life Indonesia, mencakup:</w:t>
      </w:r>
    </w:p>
    <w:p>
      <w:pPr>
        <w:pStyle w:val="ListBullet"/>
        <w:spacing w:before="40" w:after="40"/>
        <w:ind w:left="567"/>
      </w:pPr>
      <w:r>
        <w:rPr>
          <w:sz w:val="22"/>
        </w:rPr>
        <w:t>Sistem inti asuransi jiwa (Core Insurance System / Policy Administration System)</w:t>
      </w:r>
    </w:p>
    <w:p>
      <w:pPr>
        <w:pStyle w:val="ListBullet"/>
        <w:spacing w:before="40" w:after="40"/>
        <w:ind w:left="567"/>
      </w:pPr>
      <w:r>
        <w:rPr>
          <w:sz w:val="22"/>
        </w:rPr>
        <w:t>Portal nasabah dan aplikasi mobile (web &amp; Android/iOS)</w:t>
      </w:r>
    </w:p>
    <w:p>
      <w:pPr>
        <w:pStyle w:val="ListBullet"/>
        <w:spacing w:before="40" w:after="40"/>
        <w:ind w:left="567"/>
      </w:pPr>
      <w:r>
        <w:rPr>
          <w:sz w:val="22"/>
        </w:rPr>
        <w:t>Sistem pembayaran premi dan klaim (payment gateway &amp; claims management)</w:t>
      </w:r>
    </w:p>
    <w:p>
      <w:pPr>
        <w:pStyle w:val="ListBullet"/>
        <w:spacing w:before="40" w:after="40"/>
        <w:ind w:left="567"/>
      </w:pPr>
      <w:r>
        <w:rPr>
          <w:sz w:val="22"/>
        </w:rPr>
        <w:t>Platform integrasi dengan OJK, reasuransi, dan mitra bisnis (API &amp; middleware)</w:t>
      </w:r>
    </w:p>
    <w:p>
      <w:pPr>
        <w:pStyle w:val="ListBullet"/>
        <w:spacing w:before="40" w:after="40"/>
        <w:ind w:left="567"/>
      </w:pPr>
      <w:r>
        <w:rPr>
          <w:sz w:val="22"/>
        </w:rPr>
        <w:t>Infrastruktur cloud (AWS/Azure) dan on-premise data center</w:t>
      </w:r>
    </w:p>
    <w:p>
      <w:pPr>
        <w:pStyle w:val="ListBullet"/>
        <w:spacing w:before="40" w:after="40"/>
        <w:ind w:left="567"/>
      </w:pPr>
      <w:r>
        <w:rPr>
          <w:sz w:val="22"/>
        </w:rPr>
        <w:t>Sistem pendukung: HR, ERP, email, dan collaboration tools</w:t>
      </w:r>
    </w:p>
    <w:p>
      <w:pPr>
        <w:pStyle w:val="ListBullet"/>
        <w:spacing w:before="40" w:after="40"/>
        <w:ind w:left="567"/>
      </w:pPr>
      <w:r>
        <w:rPr>
          <w:sz w:val="22"/>
        </w:rPr>
        <w:t>Proyek pengembangan baru maupun perubahan signifikan pada sistem yang ada</w:t>
      </w:r>
    </w:p>
    <w:p>
      <w:pPr>
        <w:spacing w:before="280" w:after="120"/>
        <w:pBdr>
          <w:bottom w:val="single" w:sz="6" w:color="1F497D"/>
        </w:pBdr>
      </w:pPr>
      <w:r>
        <w:rPr>
          <w:b/>
          <w:color w:val="1F497D"/>
          <w:sz w:val="28"/>
        </w:rPr>
        <w:t>3. Referensi Regulasi dan Standar</w:t>
      </w:r>
    </w:p>
    <w:tbl>
      <w:tblPr>
        <w:tblStyle w:val="TableGrid"/>
        <w:tblW w:type="auto" w:w="0"/>
        <w:tblLook w:firstColumn="1" w:firstRow="1" w:lastColumn="0" w:lastRow="0" w:noHBand="0" w:noVBand="1" w:val="04A0"/>
      </w:tblPr>
      <w:tblGrid>
        <w:gridCol w:w="3118"/>
        <w:gridCol w:w="3118"/>
        <w:gridCol w:w="3118"/>
      </w:tblGrid>
      <w:tr>
        <w:tc>
          <w:tcPr>
            <w:tcW w:type="dxa" w:w="2551"/>
            <w:shd w:val="clear" w:color="auto" w:fill="0B3D91"/>
          </w:tcPr>
          <w:p>
            <w:pPr>
              <w:spacing w:before="60" w:after="60"/>
            </w:pPr>
            <w:r>
              <w:rPr>
                <w:b/>
                <w:color w:val="FFFFFF"/>
                <w:sz w:val="18"/>
              </w:rPr>
              <w:t>Referensi</w:t>
            </w:r>
          </w:p>
        </w:tc>
        <w:tc>
          <w:tcPr>
            <w:tcW w:type="dxa" w:w="1984"/>
            <w:shd w:val="clear" w:color="auto" w:fill="0B3D91"/>
          </w:tcPr>
          <w:p>
            <w:pPr>
              <w:spacing w:before="60" w:after="60"/>
            </w:pPr>
            <w:r>
              <w:rPr>
                <w:b/>
                <w:color w:val="FFFFFF"/>
                <w:sz w:val="18"/>
              </w:rPr>
              <w:t>Nomor / Versi</w:t>
            </w:r>
          </w:p>
        </w:tc>
        <w:tc>
          <w:tcPr>
            <w:tcW w:type="dxa" w:w="5102"/>
            <w:shd w:val="clear" w:color="auto" w:fill="0B3D91"/>
          </w:tcPr>
          <w:p>
            <w:pPr>
              <w:spacing w:before="60" w:after="60"/>
            </w:pPr>
            <w:r>
              <w:rPr>
                <w:b/>
                <w:color w:val="FFFFFF"/>
                <w:sz w:val="18"/>
              </w:rPr>
              <w:t>Relevansi</w:t>
            </w:r>
          </w:p>
        </w:tc>
      </w:tr>
      <w:tr>
        <w:tc>
          <w:tcPr>
            <w:tcW w:type="dxa" w:w="2551"/>
            <w:shd w:val="clear" w:color="auto" w:fill="F0F4FF"/>
          </w:tcPr>
          <w:p>
            <w:pPr>
              <w:spacing w:before="40" w:after="40"/>
            </w:pPr>
            <w:r>
              <w:rPr>
                <w:sz w:val="18"/>
              </w:rPr>
              <w:t>ISO/IEC 27001:2022</w:t>
            </w:r>
          </w:p>
        </w:tc>
        <w:tc>
          <w:tcPr>
            <w:tcW w:type="dxa" w:w="1984"/>
            <w:shd w:val="clear" w:color="auto" w:fill="F0F4FF"/>
          </w:tcPr>
          <w:p>
            <w:pPr>
              <w:spacing w:before="40" w:after="40"/>
            </w:pPr>
            <w:r>
              <w:rPr>
                <w:sz w:val="18"/>
              </w:rPr>
              <w:t>Annex A 8.27</w:t>
            </w:r>
          </w:p>
        </w:tc>
        <w:tc>
          <w:tcPr>
            <w:tcW w:type="dxa" w:w="5102"/>
            <w:shd w:val="clear" w:color="auto" w:fill="F0F4FF"/>
          </w:tcPr>
          <w:p>
            <w:pPr>
              <w:spacing w:before="40" w:after="40"/>
            </w:pPr>
            <w:r>
              <w:rPr>
                <w:sz w:val="18"/>
              </w:rPr>
              <w:t>Kontrol utama yang diimplementasikan</w:t>
            </w:r>
          </w:p>
        </w:tc>
      </w:tr>
      <w:tr>
        <w:tc>
          <w:tcPr>
            <w:tcW w:type="dxa" w:w="2551"/>
            <w:shd w:val="clear" w:color="auto" w:fill="FFFFFF"/>
          </w:tcPr>
          <w:p>
            <w:pPr>
              <w:spacing w:before="40" w:after="40"/>
            </w:pPr>
            <w:r>
              <w:rPr>
                <w:sz w:val="18"/>
              </w:rPr>
              <w:t>ISO/IEC 27002:2022</w:t>
            </w:r>
          </w:p>
        </w:tc>
        <w:tc>
          <w:tcPr>
            <w:tcW w:type="dxa" w:w="1984"/>
            <w:shd w:val="clear" w:color="auto" w:fill="FFFFFF"/>
          </w:tcPr>
          <w:p>
            <w:pPr>
              <w:spacing w:before="40" w:after="40"/>
            </w:pPr>
            <w:r>
              <w:rPr>
                <w:sz w:val="18"/>
              </w:rPr>
              <w:t>Klausul 8.27</w:t>
            </w:r>
          </w:p>
        </w:tc>
        <w:tc>
          <w:tcPr>
            <w:tcW w:type="dxa" w:w="5102"/>
            <w:shd w:val="clear" w:color="auto" w:fill="FFFFFF"/>
          </w:tcPr>
          <w:p>
            <w:pPr>
              <w:spacing w:before="40" w:after="40"/>
            </w:pPr>
            <w:r>
              <w:rPr>
                <w:sz w:val="18"/>
              </w:rPr>
              <w:t>Panduan implementasi detail</w:t>
            </w:r>
          </w:p>
        </w:tc>
      </w:tr>
      <w:tr>
        <w:tc>
          <w:tcPr>
            <w:tcW w:type="dxa" w:w="2551"/>
            <w:shd w:val="clear" w:color="auto" w:fill="F0F4FF"/>
          </w:tcPr>
          <w:p>
            <w:pPr>
              <w:spacing w:before="40" w:after="40"/>
            </w:pPr>
            <w:r>
              <w:rPr>
                <w:sz w:val="18"/>
              </w:rPr>
              <w:t>NIST SP 800-160</w:t>
            </w:r>
          </w:p>
        </w:tc>
        <w:tc>
          <w:tcPr>
            <w:tcW w:type="dxa" w:w="1984"/>
            <w:shd w:val="clear" w:color="auto" w:fill="F0F4FF"/>
          </w:tcPr>
          <w:p>
            <w:pPr>
              <w:spacing w:before="40" w:after="40"/>
            </w:pPr>
            <w:r>
              <w:rPr>
                <w:sz w:val="18"/>
              </w:rPr>
              <w:t>Vol. 1 &amp; 2</w:t>
            </w:r>
          </w:p>
        </w:tc>
        <w:tc>
          <w:tcPr>
            <w:tcW w:type="dxa" w:w="5102"/>
            <w:shd w:val="clear" w:color="auto" w:fill="F0F4FF"/>
          </w:tcPr>
          <w:p>
            <w:pPr>
              <w:spacing w:before="40" w:after="40"/>
            </w:pPr>
            <w:r>
              <w:rPr>
                <w:sz w:val="18"/>
              </w:rPr>
              <w:t>Systems Security Engineering</w:t>
            </w:r>
          </w:p>
        </w:tc>
      </w:tr>
      <w:tr>
        <w:tc>
          <w:tcPr>
            <w:tcW w:type="dxa" w:w="2551"/>
            <w:shd w:val="clear" w:color="auto" w:fill="FFFFFF"/>
          </w:tcPr>
          <w:p>
            <w:pPr>
              <w:spacing w:before="40" w:after="40"/>
            </w:pPr>
            <w:r>
              <w:rPr>
                <w:sz w:val="18"/>
              </w:rPr>
              <w:t>OWASP ASVS</w:t>
            </w:r>
          </w:p>
        </w:tc>
        <w:tc>
          <w:tcPr>
            <w:tcW w:type="dxa" w:w="1984"/>
            <w:shd w:val="clear" w:color="auto" w:fill="FFFFFF"/>
          </w:tcPr>
          <w:p>
            <w:pPr>
              <w:spacing w:before="40" w:after="40"/>
            </w:pPr>
            <w:r>
              <w:rPr>
                <w:sz w:val="18"/>
              </w:rPr>
              <w:t>v4.0.3</w:t>
            </w:r>
          </w:p>
        </w:tc>
        <w:tc>
          <w:tcPr>
            <w:tcW w:type="dxa" w:w="5102"/>
            <w:shd w:val="clear" w:color="auto" w:fill="FFFFFF"/>
          </w:tcPr>
          <w:p>
            <w:pPr>
              <w:spacing w:before="40" w:after="40"/>
            </w:pPr>
            <w:r>
              <w:rPr>
                <w:sz w:val="18"/>
              </w:rPr>
              <w:t>Application Security Verification Standard</w:t>
            </w:r>
          </w:p>
        </w:tc>
      </w:tr>
      <w:tr>
        <w:tc>
          <w:tcPr>
            <w:tcW w:type="dxa" w:w="2551"/>
            <w:shd w:val="clear" w:color="auto" w:fill="F0F4FF"/>
          </w:tcPr>
          <w:p>
            <w:pPr>
              <w:spacing w:before="40" w:after="40"/>
            </w:pPr>
            <w:r>
              <w:rPr>
                <w:sz w:val="18"/>
              </w:rPr>
              <w:t>POJK No. 11/POJK.03/2022</w:t>
            </w:r>
          </w:p>
        </w:tc>
        <w:tc>
          <w:tcPr>
            <w:tcW w:type="dxa" w:w="1984"/>
            <w:shd w:val="clear" w:color="auto" w:fill="F0F4FF"/>
          </w:tcPr>
          <w:p>
            <w:pPr>
              <w:spacing w:before="40" w:after="40"/>
            </w:pPr>
            <w:r>
              <w:rPr>
                <w:sz w:val="18"/>
              </w:rPr>
              <w:t>Tata Kelola TI</w:t>
            </w:r>
          </w:p>
        </w:tc>
        <w:tc>
          <w:tcPr>
            <w:tcW w:type="dxa" w:w="5102"/>
            <w:shd w:val="clear" w:color="auto" w:fill="F0F4FF"/>
          </w:tcPr>
          <w:p>
            <w:pPr>
              <w:spacing w:before="40" w:after="40"/>
            </w:pPr>
            <w:r>
              <w:rPr>
                <w:sz w:val="18"/>
              </w:rPr>
              <w:t>Regulasi OJK untuk institusi keuangan</w:t>
            </w:r>
          </w:p>
        </w:tc>
      </w:tr>
      <w:tr>
        <w:tc>
          <w:tcPr>
            <w:tcW w:type="dxa" w:w="2551"/>
            <w:shd w:val="clear" w:color="auto" w:fill="FFFFFF"/>
          </w:tcPr>
          <w:p>
            <w:pPr>
              <w:spacing w:before="40" w:after="40"/>
            </w:pPr>
            <w:r>
              <w:rPr>
                <w:sz w:val="18"/>
              </w:rPr>
              <w:t>UU PDP No. 27/2022</w:t>
            </w:r>
          </w:p>
        </w:tc>
        <w:tc>
          <w:tcPr>
            <w:tcW w:type="dxa" w:w="1984"/>
            <w:shd w:val="clear" w:color="auto" w:fill="FFFFFF"/>
          </w:tcPr>
          <w:p>
            <w:pPr>
              <w:spacing w:before="40" w:after="40"/>
            </w:pPr>
            <w:r>
              <w:rPr>
                <w:sz w:val="18"/>
              </w:rPr>
              <w:t>Pasal 35-40</w:t>
            </w:r>
          </w:p>
        </w:tc>
        <w:tc>
          <w:tcPr>
            <w:tcW w:type="dxa" w:w="5102"/>
            <w:shd w:val="clear" w:color="auto" w:fill="FFFFFF"/>
          </w:tcPr>
          <w:p>
            <w:pPr>
              <w:spacing w:before="40" w:after="40"/>
            </w:pPr>
            <w:r>
              <w:rPr>
                <w:sz w:val="18"/>
              </w:rPr>
              <w:t>Perlindungan Data Pribadi — privacy by design</w:t>
            </w:r>
          </w:p>
        </w:tc>
      </w:tr>
      <w:tr>
        <w:tc>
          <w:tcPr>
            <w:tcW w:type="dxa" w:w="2551"/>
            <w:shd w:val="clear" w:color="auto" w:fill="F0F4FF"/>
          </w:tcPr>
          <w:p>
            <w:pPr>
              <w:spacing w:before="40" w:after="40"/>
            </w:pPr>
            <w:r>
              <w:rPr>
                <w:sz w:val="18"/>
              </w:rPr>
              <w:t>NIST Cybersecurity Framework</w:t>
            </w:r>
          </w:p>
        </w:tc>
        <w:tc>
          <w:tcPr>
            <w:tcW w:type="dxa" w:w="1984"/>
            <w:shd w:val="clear" w:color="auto" w:fill="F0F4FF"/>
          </w:tcPr>
          <w:p>
            <w:pPr>
              <w:spacing w:before="40" w:after="40"/>
            </w:pPr>
            <w:r>
              <w:rPr>
                <w:sz w:val="18"/>
              </w:rPr>
              <w:t>v2.0 (2024)</w:t>
            </w:r>
          </w:p>
        </w:tc>
        <w:tc>
          <w:tcPr>
            <w:tcW w:type="dxa" w:w="5102"/>
            <w:shd w:val="clear" w:color="auto" w:fill="F0F4FF"/>
          </w:tcPr>
          <w:p>
            <w:pPr>
              <w:spacing w:before="40" w:after="40"/>
            </w:pPr>
            <w:r>
              <w:rPr>
                <w:sz w:val="18"/>
              </w:rPr>
              <w:t>Identify, Protect, Detect, Respond, Recover</w:t>
            </w:r>
          </w:p>
        </w:tc>
      </w:tr>
      <w:tr>
        <w:tc>
          <w:tcPr>
            <w:tcW w:type="dxa" w:w="2551"/>
            <w:shd w:val="clear" w:color="auto" w:fill="FFFFFF"/>
          </w:tcPr>
          <w:p>
            <w:pPr>
              <w:spacing w:before="40" w:after="40"/>
            </w:pPr>
            <w:r>
              <w:rPr>
                <w:sz w:val="18"/>
              </w:rPr>
              <w:t>MITRE ATT&amp;CK for Enterprise</w:t>
            </w:r>
          </w:p>
        </w:tc>
        <w:tc>
          <w:tcPr>
            <w:tcW w:type="dxa" w:w="1984"/>
            <w:shd w:val="clear" w:color="auto" w:fill="FFFFFF"/>
          </w:tcPr>
          <w:p>
            <w:pPr>
              <w:spacing w:before="40" w:after="40"/>
            </w:pPr>
            <w:r>
              <w:rPr>
                <w:sz w:val="18"/>
              </w:rPr>
              <w:t>v14</w:t>
            </w:r>
          </w:p>
        </w:tc>
        <w:tc>
          <w:tcPr>
            <w:tcW w:type="dxa" w:w="5102"/>
            <w:shd w:val="clear" w:color="auto" w:fill="FFFFFF"/>
          </w:tcPr>
          <w:p>
            <w:pPr>
              <w:spacing w:before="40" w:after="40"/>
            </w:pPr>
            <w:r>
              <w:rPr>
                <w:sz w:val="18"/>
              </w:rPr>
              <w:t>Threat-informed defense architecture</w:t>
            </w:r>
          </w:p>
        </w:tc>
      </w:tr>
    </w:tbl>
    <w:p/>
    <w:p>
      <w:pPr>
        <w:spacing w:before="280" w:after="120"/>
        <w:pBdr>
          <w:bottom w:val="single" w:sz="6" w:color="1F497D"/>
        </w:pBdr>
      </w:pPr>
      <w:r>
        <w:rPr>
          <w:b/>
          <w:color w:val="1F497D"/>
          <w:sz w:val="28"/>
        </w:rPr>
        <w:t>4. Prinsip-Prinsip Arsitektur Keamanan</w:t>
      </w:r>
    </w:p>
    <w:p>
      <w:pPr>
        <w:spacing w:before="40" w:after="80"/>
      </w:pPr>
      <w:r>
        <w:rPr>
          <w:sz w:val="22"/>
        </w:rPr>
        <w:t>PT Equity Life Indonesia mewajibkan penerapan 12 prinsip keamanan berikut pada semua sistem informasi. Setiap prinsip harus diverifikasi dalam Security Design Review sebelum sistem masuk ke tahap pengembangan.</w:t>
      </w:r>
    </w:p>
    <w:tbl>
      <w:tblPr>
        <w:tblStyle w:val="TableGrid"/>
        <w:tblW w:type="auto" w:w="0"/>
        <w:tblLook w:firstColumn="1" w:firstRow="1" w:lastColumn="0" w:lastRow="0" w:noHBand="0" w:noVBand="1" w:val="04A0"/>
      </w:tblPr>
      <w:tblGrid>
        <w:gridCol w:w="9355"/>
      </w:tblGrid>
      <w:tr>
        <w:tc>
          <w:tcPr>
            <w:tcW w:type="dxa" w:w="9355"/>
            <w:shd w:val="clear" w:color="auto" w:fill="E8F0FE"/>
            <w:tcBdr>
              <w:top w:val="single" w:sz="18" w:space="0" w:color="0B3D91"/>
              <w:left w:val="single" w:sz="18" w:space="0" w:color="0B3D91"/>
              <w:bottom w:val="single" w:sz="18" w:space="0" w:color="0B3D91"/>
              <w:right w:val="single" w:sz="18" w:space="0" w:color="0B3D91"/>
            </w:tcBdr>
          </w:tcPr>
          <w:p>
            <w:pPr>
              <w:spacing w:before="120" w:after="40"/>
              <w:ind w:left="170"/>
            </w:pPr>
            <w:r>
              <w:rPr>
                <w:b/>
                <w:color w:val="0B3D91"/>
                <w:sz w:val="22"/>
              </w:rPr>
              <w:t xml:space="preserve">Prinsip 1  </w:t>
            </w:r>
            <w:r>
              <w:rPr>
                <w:b/>
                <w:color w:val="0B3D91"/>
                <w:sz w:val="22"/>
              </w:rPr>
              <w:t>Security by Design</w:t>
            </w:r>
          </w:p>
          <w:p>
            <w:pPr>
              <w:spacing w:before="40" w:after="40"/>
              <w:ind w:left="170"/>
            </w:pPr>
            <w:r>
              <w:rPr>
                <w:sz w:val="20"/>
              </w:rPr>
              <w:t>Keamanan harus dirancang sejak tahap awal (requirements &amp; design), bukan ditambahkan setelah sistem selesai dibangun. Setiap fitur baru wajib melalui Threat Modeling sebelum dikoding. Metodologi yang digunakan: STRIDE (Microsoft), PASTA, atau LINDDUN untuk sistem yang memproses data pribadi nasabah.</w:t>
            </w:r>
          </w:p>
          <w:p>
            <w:pPr>
              <w:spacing w:before="40" w:after="80"/>
              <w:ind w:left="170"/>
            </w:pPr>
            <w:r>
              <w:rPr>
                <w:b/>
                <w:color w:val="0B3D91"/>
                <w:sz w:val="18"/>
              </w:rPr>
              <w:t xml:space="preserve">Kontrol: </w:t>
            </w:r>
            <w:r>
              <w:rPr>
                <w:color w:val="444444"/>
                <w:sz w:val="18"/>
              </w:rPr>
              <w:t>Threat Modeling mandatory sebelum development; Security Requirements Specification (SRS) sebagai bagian dari dokumen desain.</w:t>
            </w:r>
          </w:p>
          <w:p>
            <w:pPr>
              <w:spacing w:before="0" w:after="80"/>
              <w:ind w:left="170"/>
            </w:pPr>
            <w:r>
              <w:rPr>
                <w:i/>
                <w:color w:val="777777"/>
                <w:sz w:val="16"/>
              </w:rPr>
              <w:t>Ref: ISO 27002:2022 §8.27, NIST SP 800-160 §3.1</w:t>
            </w:r>
          </w:p>
        </w:tc>
      </w:tr>
    </w:tbl>
    <w:p/>
    <w:tbl>
      <w:tblPr>
        <w:tblStyle w:val="TableGrid"/>
        <w:tblW w:type="auto" w:w="0"/>
        <w:tblLook w:firstColumn="1" w:firstRow="1" w:lastColumn="0" w:lastRow="0" w:noHBand="0" w:noVBand="1" w:val="04A0"/>
      </w:tblPr>
      <w:tblGrid>
        <w:gridCol w:w="9355"/>
      </w:tblGrid>
      <w:tr>
        <w:tc>
          <w:tcPr>
            <w:tcW w:type="dxa" w:w="9355"/>
            <w:shd w:val="clear" w:color="auto" w:fill="E8F0FE"/>
            <w:tcBdr>
              <w:top w:val="single" w:sz="18" w:space="0" w:color="0B3D91"/>
              <w:left w:val="single" w:sz="18" w:space="0" w:color="0B3D91"/>
              <w:bottom w:val="single" w:sz="18" w:space="0" w:color="0B3D91"/>
              <w:right w:val="single" w:sz="18" w:space="0" w:color="0B3D91"/>
            </w:tcBdr>
          </w:tcPr>
          <w:p>
            <w:pPr>
              <w:spacing w:before="120" w:after="40"/>
              <w:ind w:left="170"/>
            </w:pPr>
            <w:r>
              <w:rPr>
                <w:b/>
                <w:color w:val="0B3D91"/>
                <w:sz w:val="22"/>
              </w:rPr>
              <w:t xml:space="preserve">Prinsip 2  </w:t>
            </w:r>
            <w:r>
              <w:rPr>
                <w:b/>
                <w:color w:val="0B3D91"/>
                <w:sz w:val="22"/>
              </w:rPr>
              <w:t>Defense in Depth (Pertahanan Berlapis)</w:t>
            </w:r>
          </w:p>
          <w:p>
            <w:pPr>
              <w:spacing w:before="40" w:after="40"/>
              <w:ind w:left="170"/>
            </w:pPr>
            <w:r>
              <w:rPr>
                <w:sz w:val="20"/>
              </w:rPr>
              <w:t>Tidak ada satu kontrol keamanan tunggal yang dapat diandalkan sepenuhnya. Sistem harus memiliki minimal 3 lapisan kontrol independen untuk setiap aset kritikal: network layer, application layer, dan data layer. Kegagalan satu lapisan tidak boleh mengekspos aset secara langsung.</w:t>
            </w:r>
          </w:p>
          <w:p>
            <w:pPr>
              <w:spacing w:before="40" w:after="80"/>
              <w:ind w:left="170"/>
            </w:pPr>
            <w:r>
              <w:rPr>
                <w:b/>
                <w:color w:val="0B3D91"/>
                <w:sz w:val="18"/>
              </w:rPr>
              <w:t xml:space="preserve">Kontrol: </w:t>
            </w:r>
            <w:r>
              <w:rPr>
                <w:color w:val="444444"/>
                <w:sz w:val="18"/>
              </w:rPr>
              <w:t>Network segmentation (VLAN/DMZ), WAF, application firewall, database firewall, encryption at rest &amp; in transit — semua harus ada untuk sistem Tier-1.</w:t>
            </w:r>
          </w:p>
          <w:p>
            <w:pPr>
              <w:spacing w:before="0" w:after="80"/>
              <w:ind w:left="170"/>
            </w:pPr>
            <w:r>
              <w:rPr>
                <w:i/>
                <w:color w:val="777777"/>
                <w:sz w:val="16"/>
              </w:rPr>
              <w:t>Ref: ISO 27002:2022 §8.20, §8.22, NIST SP 800-160</w:t>
            </w:r>
          </w:p>
        </w:tc>
      </w:tr>
    </w:tbl>
    <w:p/>
    <w:tbl>
      <w:tblPr>
        <w:tblStyle w:val="TableGrid"/>
        <w:tblW w:type="auto" w:w="0"/>
        <w:tblLook w:firstColumn="1" w:firstRow="1" w:lastColumn="0" w:lastRow="0" w:noHBand="0" w:noVBand="1" w:val="04A0"/>
      </w:tblPr>
      <w:tblGrid>
        <w:gridCol w:w="9355"/>
      </w:tblGrid>
      <w:tr>
        <w:tc>
          <w:tcPr>
            <w:tcW w:type="dxa" w:w="9355"/>
            <w:shd w:val="clear" w:color="auto" w:fill="E8F0FE"/>
            <w:tcBdr>
              <w:top w:val="single" w:sz="18" w:space="0" w:color="0B3D91"/>
              <w:left w:val="single" w:sz="18" w:space="0" w:color="0B3D91"/>
              <w:bottom w:val="single" w:sz="18" w:space="0" w:color="0B3D91"/>
              <w:right w:val="single" w:sz="18" w:space="0" w:color="0B3D91"/>
            </w:tcBdr>
          </w:tcPr>
          <w:p>
            <w:pPr>
              <w:spacing w:before="120" w:after="40"/>
              <w:ind w:left="170"/>
            </w:pPr>
            <w:r>
              <w:rPr>
                <w:b/>
                <w:color w:val="0B3D91"/>
                <w:sz w:val="22"/>
              </w:rPr>
              <w:t xml:space="preserve">Prinsip 3  </w:t>
            </w:r>
            <w:r>
              <w:rPr>
                <w:b/>
                <w:color w:val="0B3D91"/>
                <w:sz w:val="22"/>
              </w:rPr>
              <w:t>Least Privilege (Hak Akses Minimum)</w:t>
            </w:r>
          </w:p>
          <w:p>
            <w:pPr>
              <w:spacing w:before="40" w:after="40"/>
              <w:ind w:left="170"/>
            </w:pPr>
            <w:r>
              <w:rPr>
                <w:sz w:val="20"/>
              </w:rPr>
              <w:t>Setiap user, service account, dan komponen sistem hanya boleh memiliki hak akses minimum yang diperlukan untuk menjalankan fungsinya. Tidak ada akses 'sementara' yang menjadi permanen. Akses administrator harus menggunakan Privileged Access Management (PAM) dan dibatasi waktu (time-boxed).</w:t>
            </w:r>
          </w:p>
          <w:p>
            <w:pPr>
              <w:spacing w:before="40" w:after="80"/>
              <w:ind w:left="170"/>
            </w:pPr>
            <w:r>
              <w:rPr>
                <w:b/>
                <w:color w:val="0B3D91"/>
                <w:sz w:val="18"/>
              </w:rPr>
              <w:t xml:space="preserve">Kontrol: </w:t>
            </w:r>
            <w:r>
              <w:rPr>
                <w:color w:val="444444"/>
                <w:sz w:val="18"/>
              </w:rPr>
              <w:t>Role-Based Access Control (RBAC) wajib; service account tidak boleh memiliki hak admin; database user hanya dapat SELECT/INSERT/UPDATE — tidak DROP/ALTER.</w:t>
            </w:r>
          </w:p>
          <w:p>
            <w:pPr>
              <w:spacing w:before="0" w:after="80"/>
              <w:ind w:left="170"/>
            </w:pPr>
            <w:r>
              <w:rPr>
                <w:i/>
                <w:color w:val="777777"/>
                <w:sz w:val="16"/>
              </w:rPr>
              <w:t>Ref: ISO 27002:2022 §8.2, §5.18, §8.18</w:t>
            </w:r>
          </w:p>
        </w:tc>
      </w:tr>
    </w:tbl>
    <w:p/>
    <w:tbl>
      <w:tblPr>
        <w:tblStyle w:val="TableGrid"/>
        <w:tblW w:type="auto" w:w="0"/>
        <w:tblLook w:firstColumn="1" w:firstRow="1" w:lastColumn="0" w:lastRow="0" w:noHBand="0" w:noVBand="1" w:val="04A0"/>
      </w:tblPr>
      <w:tblGrid>
        <w:gridCol w:w="9355"/>
      </w:tblGrid>
      <w:tr>
        <w:tc>
          <w:tcPr>
            <w:tcW w:type="dxa" w:w="9355"/>
            <w:shd w:val="clear" w:color="auto" w:fill="E8F0FE"/>
            <w:tcBdr>
              <w:top w:val="single" w:sz="18" w:space="0" w:color="0B3D91"/>
              <w:left w:val="single" w:sz="18" w:space="0" w:color="0B3D91"/>
              <w:bottom w:val="single" w:sz="18" w:space="0" w:color="0B3D91"/>
              <w:right w:val="single" w:sz="18" w:space="0" w:color="0B3D91"/>
            </w:tcBdr>
          </w:tcPr>
          <w:p>
            <w:pPr>
              <w:spacing w:before="120" w:after="40"/>
              <w:ind w:left="170"/>
            </w:pPr>
            <w:r>
              <w:rPr>
                <w:b/>
                <w:color w:val="0B3D91"/>
                <w:sz w:val="22"/>
              </w:rPr>
              <w:t xml:space="preserve">Prinsip 4  </w:t>
            </w:r>
            <w:r>
              <w:rPr>
                <w:b/>
                <w:color w:val="0B3D91"/>
                <w:sz w:val="22"/>
              </w:rPr>
              <w:t>Zero Trust Architecture</w:t>
            </w:r>
          </w:p>
          <w:p>
            <w:pPr>
              <w:spacing w:before="40" w:after="40"/>
              <w:ind w:left="170"/>
            </w:pPr>
            <w:r>
              <w:rPr>
                <w:sz w:val="20"/>
              </w:rPr>
              <w:t>Tidak ada entitas (user, device, service) yang dipercaya secara implisit, bahkan yang berada di dalam jaringan internal. Setiap request harus diautentikasi, diotorisasi, dan diverifikasi secara kontekstual. Implementasi menggunakan model NIST SP 800-207.</w:t>
            </w:r>
          </w:p>
          <w:p>
            <w:pPr>
              <w:spacing w:before="40" w:after="80"/>
              <w:ind w:left="170"/>
            </w:pPr>
            <w:r>
              <w:rPr>
                <w:b/>
                <w:color w:val="0B3D91"/>
                <w:sz w:val="18"/>
              </w:rPr>
              <w:t xml:space="preserve">Kontrol: </w:t>
            </w:r>
            <w:r>
              <w:rPr>
                <w:color w:val="444444"/>
                <w:sz w:val="18"/>
              </w:rPr>
              <w:t>MFA wajib untuk semua akses sistem; micro-segmentation jaringan; continuous verification; device posture check sebelum akses diberikan; API gateway dengan token validation.</w:t>
            </w:r>
          </w:p>
          <w:p>
            <w:pPr>
              <w:spacing w:before="0" w:after="80"/>
              <w:ind w:left="170"/>
            </w:pPr>
            <w:r>
              <w:rPr>
                <w:i/>
                <w:color w:val="777777"/>
                <w:sz w:val="16"/>
              </w:rPr>
              <w:t>Ref: NIST SP 800-207, ISO 27002:2022 §8.2, §8.3</w:t>
            </w:r>
          </w:p>
        </w:tc>
      </w:tr>
    </w:tbl>
    <w:p/>
    <w:tbl>
      <w:tblPr>
        <w:tblStyle w:val="TableGrid"/>
        <w:tblW w:type="auto" w:w="0"/>
        <w:tblLook w:firstColumn="1" w:firstRow="1" w:lastColumn="0" w:lastRow="0" w:noHBand="0" w:noVBand="1" w:val="04A0"/>
      </w:tblPr>
      <w:tblGrid>
        <w:gridCol w:w="9355"/>
      </w:tblGrid>
      <w:tr>
        <w:tc>
          <w:tcPr>
            <w:tcW w:type="dxa" w:w="9355"/>
            <w:shd w:val="clear" w:color="auto" w:fill="E8F0FE"/>
            <w:tcBdr>
              <w:top w:val="single" w:sz="18" w:space="0" w:color="0B3D91"/>
              <w:left w:val="single" w:sz="18" w:space="0" w:color="0B3D91"/>
              <w:bottom w:val="single" w:sz="18" w:space="0" w:color="0B3D91"/>
              <w:right w:val="single" w:sz="18" w:space="0" w:color="0B3D91"/>
            </w:tcBdr>
          </w:tcPr>
          <w:p>
            <w:pPr>
              <w:spacing w:before="120" w:after="40"/>
              <w:ind w:left="170"/>
            </w:pPr>
            <w:r>
              <w:rPr>
                <w:b/>
                <w:color w:val="0B3D91"/>
                <w:sz w:val="22"/>
              </w:rPr>
              <w:t xml:space="preserve">Prinsip 5  </w:t>
            </w:r>
            <w:r>
              <w:rPr>
                <w:b/>
                <w:color w:val="0B3D91"/>
                <w:sz w:val="22"/>
              </w:rPr>
              <w:t>Fail Secure (Gagal dengan Aman)</w:t>
            </w:r>
          </w:p>
          <w:p>
            <w:pPr>
              <w:spacing w:before="40" w:after="40"/>
              <w:ind w:left="170"/>
            </w:pPr>
            <w:r>
              <w:rPr>
                <w:sz w:val="20"/>
              </w:rPr>
              <w:t>Ketika sistem mengalami error, crash, atau kondisi tidak terduga, kondisi default adalah PENOLAKAN AKSES — bukan pembukaan akses. Exception handler tidak boleh membocorkan informasi teknis ke end user. Error message untuk user harus generic; detail error hanya dicatat di log internal.</w:t>
            </w:r>
          </w:p>
          <w:p>
            <w:pPr>
              <w:spacing w:before="40" w:after="80"/>
              <w:ind w:left="170"/>
            </w:pPr>
            <w:r>
              <w:rPr>
                <w:b/>
                <w:color w:val="0B3D91"/>
                <w:sz w:val="18"/>
              </w:rPr>
              <w:t xml:space="preserve">Kontrol: </w:t>
            </w:r>
            <w:r>
              <w:rPr>
                <w:color w:val="444444"/>
                <w:sz w:val="18"/>
              </w:rPr>
              <w:t>Default-deny pada firewall dan IAM policies; exception handling wajib di semua endpoint API; circuit breaker pattern untuk integrasi eksternal; graceful degradation — bukan crash total.</w:t>
            </w:r>
          </w:p>
          <w:p>
            <w:pPr>
              <w:spacing w:before="0" w:after="80"/>
              <w:ind w:left="170"/>
            </w:pPr>
            <w:r>
              <w:rPr>
                <w:i/>
                <w:color w:val="777777"/>
                <w:sz w:val="16"/>
              </w:rPr>
              <w:t>Ref: ISO 27002:2022 §8.27, OWASP ASVS §7.4</w:t>
            </w:r>
          </w:p>
        </w:tc>
      </w:tr>
    </w:tbl>
    <w:p/>
    <w:tbl>
      <w:tblPr>
        <w:tblStyle w:val="TableGrid"/>
        <w:tblW w:type="auto" w:w="0"/>
        <w:tblLook w:firstColumn="1" w:firstRow="1" w:lastColumn="0" w:lastRow="0" w:noHBand="0" w:noVBand="1" w:val="04A0"/>
      </w:tblPr>
      <w:tblGrid>
        <w:gridCol w:w="9355"/>
      </w:tblGrid>
      <w:tr>
        <w:tc>
          <w:tcPr>
            <w:tcW w:type="dxa" w:w="9355"/>
            <w:shd w:val="clear" w:color="auto" w:fill="E8F0FE"/>
            <w:tcBdr>
              <w:top w:val="single" w:sz="18" w:space="0" w:color="0B3D91"/>
              <w:left w:val="single" w:sz="18" w:space="0" w:color="0B3D91"/>
              <w:bottom w:val="single" w:sz="18" w:space="0" w:color="0B3D91"/>
              <w:right w:val="single" w:sz="18" w:space="0" w:color="0B3D91"/>
            </w:tcBdr>
          </w:tcPr>
          <w:p>
            <w:pPr>
              <w:spacing w:before="120" w:after="40"/>
              <w:ind w:left="170"/>
            </w:pPr>
            <w:r>
              <w:rPr>
                <w:b/>
                <w:color w:val="0B3D91"/>
                <w:sz w:val="22"/>
              </w:rPr>
              <w:t xml:space="preserve">Prinsip 6  </w:t>
            </w:r>
            <w:r>
              <w:rPr>
                <w:b/>
                <w:color w:val="0B3D91"/>
                <w:sz w:val="22"/>
              </w:rPr>
              <w:t>Separation of Duties (Pemisahan Tugas)</w:t>
            </w:r>
          </w:p>
          <w:p>
            <w:pPr>
              <w:spacing w:before="40" w:after="40"/>
              <w:ind w:left="170"/>
            </w:pPr>
            <w:r>
              <w:rPr>
                <w:sz w:val="20"/>
              </w:rPr>
              <w:t>Tidak ada satu individu atau sistem yang dapat melakukan keseluruhan proses kritikal tanpa persetujuan pihak lain. Prinsip ini mencegah penipuan internal (fraud) dan kesalahan yang tidak disengaja. Berlaku untuk proses bisnis dan proses teknis (deployment, konfigurasi).</w:t>
            </w:r>
          </w:p>
          <w:p>
            <w:pPr>
              <w:spacing w:before="40" w:after="80"/>
              <w:ind w:left="170"/>
            </w:pPr>
            <w:r>
              <w:rPr>
                <w:b/>
                <w:color w:val="0B3D91"/>
                <w:sz w:val="18"/>
              </w:rPr>
              <w:t xml:space="preserve">Kontrol: </w:t>
            </w:r>
            <w:r>
              <w:rPr>
                <w:color w:val="444444"/>
                <w:sz w:val="18"/>
              </w:rPr>
              <w:t>4-eyes principle untuk transaksi klaim di atas Rp 100 juta; developer tidak dapat deploy langsung ke production; DBA tidak dapat mengakses data nasabah tanpa approval CISO; CI/CD pipeline dengan approval gate mandatory.</w:t>
            </w:r>
          </w:p>
          <w:p>
            <w:pPr>
              <w:spacing w:before="0" w:after="80"/>
              <w:ind w:left="170"/>
            </w:pPr>
            <w:r>
              <w:rPr>
                <w:i/>
                <w:color w:val="777777"/>
                <w:sz w:val="16"/>
              </w:rPr>
              <w:t>Ref: ISO 27002:2022 §5.3, §8.31</w:t>
            </w:r>
          </w:p>
        </w:tc>
      </w:tr>
    </w:tbl>
    <w:p/>
    <w:tbl>
      <w:tblPr>
        <w:tblStyle w:val="TableGrid"/>
        <w:tblW w:type="auto" w:w="0"/>
        <w:tblLook w:firstColumn="1" w:firstRow="1" w:lastColumn="0" w:lastRow="0" w:noHBand="0" w:noVBand="1" w:val="04A0"/>
      </w:tblPr>
      <w:tblGrid>
        <w:gridCol w:w="9355"/>
      </w:tblGrid>
      <w:tr>
        <w:tc>
          <w:tcPr>
            <w:tcW w:type="dxa" w:w="9355"/>
            <w:shd w:val="clear" w:color="auto" w:fill="E8F0FE"/>
            <w:tcBdr>
              <w:top w:val="single" w:sz="18" w:space="0" w:color="0B3D91"/>
              <w:left w:val="single" w:sz="18" w:space="0" w:color="0B3D91"/>
              <w:bottom w:val="single" w:sz="18" w:space="0" w:color="0B3D91"/>
              <w:right w:val="single" w:sz="18" w:space="0" w:color="0B3D91"/>
            </w:tcBdr>
          </w:tcPr>
          <w:p>
            <w:pPr>
              <w:spacing w:before="120" w:after="40"/>
              <w:ind w:left="170"/>
            </w:pPr>
            <w:r>
              <w:rPr>
                <w:b/>
                <w:color w:val="0B3D91"/>
                <w:sz w:val="22"/>
              </w:rPr>
              <w:t xml:space="preserve">Prinsip 7  </w:t>
            </w:r>
            <w:r>
              <w:rPr>
                <w:b/>
                <w:color w:val="0B3D91"/>
                <w:sz w:val="22"/>
              </w:rPr>
              <w:t>Economy of Mechanism (Kesederhanaan Desain)</w:t>
            </w:r>
          </w:p>
          <w:p>
            <w:pPr>
              <w:spacing w:before="40" w:after="40"/>
              <w:ind w:left="170"/>
            </w:pPr>
            <w:r>
              <w:rPr>
                <w:sz w:val="20"/>
              </w:rPr>
              <w:t>Desain sistem harus sesederhana mungkin — kompleksitas yang tidak perlu menciptakan permukaan serangan yang lebih luas dan mempersulit audit. Setiap komponen, library, dan dependency harus justified dan diminimalkan.</w:t>
            </w:r>
          </w:p>
          <w:p>
            <w:pPr>
              <w:spacing w:before="40" w:after="80"/>
              <w:ind w:left="170"/>
            </w:pPr>
            <w:r>
              <w:rPr>
                <w:b/>
                <w:color w:val="0B3D91"/>
                <w:sz w:val="18"/>
              </w:rPr>
              <w:t xml:space="preserve">Kontrol: </w:t>
            </w:r>
            <w:r>
              <w:rPr>
                <w:color w:val="444444"/>
                <w:sz w:val="18"/>
              </w:rPr>
              <w:t>Dependency review wajib (Software Composition Analysis / SCA); batasi third-party library; remove unused features/endpoints sebelum production; simplify authentication flows.</w:t>
            </w:r>
          </w:p>
          <w:p>
            <w:pPr>
              <w:spacing w:before="0" w:after="80"/>
              <w:ind w:left="170"/>
            </w:pPr>
            <w:r>
              <w:rPr>
                <w:i/>
                <w:color w:val="777777"/>
                <w:sz w:val="16"/>
              </w:rPr>
              <w:t>Ref: ISO 27002:2022 §8.27, §8.8</w:t>
            </w:r>
          </w:p>
        </w:tc>
      </w:tr>
    </w:tbl>
    <w:p/>
    <w:tbl>
      <w:tblPr>
        <w:tblStyle w:val="TableGrid"/>
        <w:tblW w:type="auto" w:w="0"/>
        <w:tblLook w:firstColumn="1" w:firstRow="1" w:lastColumn="0" w:lastRow="0" w:noHBand="0" w:noVBand="1" w:val="04A0"/>
      </w:tblPr>
      <w:tblGrid>
        <w:gridCol w:w="9355"/>
      </w:tblGrid>
      <w:tr>
        <w:tc>
          <w:tcPr>
            <w:tcW w:type="dxa" w:w="9355"/>
            <w:shd w:val="clear" w:color="auto" w:fill="E8F0FE"/>
            <w:tcBdr>
              <w:top w:val="single" w:sz="18" w:space="0" w:color="0B3D91"/>
              <w:left w:val="single" w:sz="18" w:space="0" w:color="0B3D91"/>
              <w:bottom w:val="single" w:sz="18" w:space="0" w:color="0B3D91"/>
              <w:right w:val="single" w:sz="18" w:space="0" w:color="0B3D91"/>
            </w:tcBdr>
          </w:tcPr>
          <w:p>
            <w:pPr>
              <w:spacing w:before="120" w:after="40"/>
              <w:ind w:left="170"/>
            </w:pPr>
            <w:r>
              <w:rPr>
                <w:b/>
                <w:color w:val="0B3D91"/>
                <w:sz w:val="22"/>
              </w:rPr>
              <w:t xml:space="preserve">Prinsip 8  </w:t>
            </w:r>
            <w:r>
              <w:rPr>
                <w:b/>
                <w:color w:val="0B3D91"/>
                <w:sz w:val="22"/>
              </w:rPr>
              <w:t>Complete Mediation (Verifikasi Lengkap)</w:t>
            </w:r>
          </w:p>
          <w:p>
            <w:pPr>
              <w:spacing w:before="40" w:after="40"/>
              <w:ind w:left="170"/>
            </w:pPr>
            <w:r>
              <w:rPr>
                <w:sz w:val="20"/>
              </w:rPr>
              <w:t>Setiap request akses ke resource harus diverifikasi otorisasinya pada SETIAP request, tidak hanya saat pertama kali login. Session yang sudah kedaluwarsa atau dicabut harus langsung ditolak. Cache otorisasi hanya boleh berlaku maksimal 5 menit untuk sistem kritikal.</w:t>
            </w:r>
          </w:p>
          <w:p>
            <w:pPr>
              <w:spacing w:before="40" w:after="80"/>
              <w:ind w:left="170"/>
            </w:pPr>
            <w:r>
              <w:rPr>
                <w:b/>
                <w:color w:val="0B3D91"/>
                <w:sz w:val="18"/>
              </w:rPr>
              <w:t xml:space="preserve">Kontrol: </w:t>
            </w:r>
            <w:r>
              <w:rPr>
                <w:color w:val="444444"/>
                <w:sz w:val="18"/>
              </w:rPr>
              <w:t>Centralized authorization service; session timeout 15 menit untuk sistem core insurance; token revocation list (TRL) untuk JWT; re-authentication untuk aksi sensitif (misal: perubahan data nasabah, pencairan klaim).</w:t>
            </w:r>
          </w:p>
          <w:p>
            <w:pPr>
              <w:spacing w:before="0" w:after="80"/>
              <w:ind w:left="170"/>
            </w:pPr>
            <w:r>
              <w:rPr>
                <w:i/>
                <w:color w:val="777777"/>
                <w:sz w:val="16"/>
              </w:rPr>
              <w:t>Ref: ISO 27002:2022 §8.2, §8.3, OWASP ASVS §3.3</w:t>
            </w:r>
          </w:p>
        </w:tc>
      </w:tr>
    </w:tbl>
    <w:p/>
    <w:tbl>
      <w:tblPr>
        <w:tblStyle w:val="TableGrid"/>
        <w:tblW w:type="auto" w:w="0"/>
        <w:tblLook w:firstColumn="1" w:firstRow="1" w:lastColumn="0" w:lastRow="0" w:noHBand="0" w:noVBand="1" w:val="04A0"/>
      </w:tblPr>
      <w:tblGrid>
        <w:gridCol w:w="9355"/>
      </w:tblGrid>
      <w:tr>
        <w:tc>
          <w:tcPr>
            <w:tcW w:type="dxa" w:w="9355"/>
            <w:shd w:val="clear" w:color="auto" w:fill="E8F0FE"/>
            <w:tcBdr>
              <w:top w:val="single" w:sz="18" w:space="0" w:color="0B3D91"/>
              <w:left w:val="single" w:sz="18" w:space="0" w:color="0B3D91"/>
              <w:bottom w:val="single" w:sz="18" w:space="0" w:color="0B3D91"/>
              <w:right w:val="single" w:sz="18" w:space="0" w:color="0B3D91"/>
            </w:tcBdr>
          </w:tcPr>
          <w:p>
            <w:pPr>
              <w:spacing w:before="120" w:after="40"/>
              <w:ind w:left="170"/>
            </w:pPr>
            <w:r>
              <w:rPr>
                <w:b/>
                <w:color w:val="0B3D91"/>
                <w:sz w:val="22"/>
              </w:rPr>
              <w:t xml:space="preserve">Prinsip 9  </w:t>
            </w:r>
            <w:r>
              <w:rPr>
                <w:b/>
                <w:color w:val="0B3D91"/>
                <w:sz w:val="22"/>
              </w:rPr>
              <w:t>Privacy by Design</w:t>
            </w:r>
          </w:p>
          <w:p>
            <w:pPr>
              <w:spacing w:before="40" w:after="40"/>
              <w:ind w:left="170"/>
            </w:pPr>
            <w:r>
              <w:rPr>
                <w:sz w:val="20"/>
              </w:rPr>
              <w:t>Perlindungan data pribadi nasabah (sesuai UU PDP No. 27/2022) harus diintegrasikan ke dalam arsitektur sistem, bukan ditambahkan sebagai fitur terpisah. Data minimization: hanya kumpulkan data yang benar-benar diperlukan.</w:t>
            </w:r>
          </w:p>
          <w:p>
            <w:pPr>
              <w:spacing w:before="40" w:after="80"/>
              <w:ind w:left="170"/>
            </w:pPr>
            <w:r>
              <w:rPr>
                <w:b/>
                <w:color w:val="0B3D91"/>
                <w:sz w:val="18"/>
              </w:rPr>
              <w:t xml:space="preserve">Kontrol: </w:t>
            </w:r>
            <w:r>
              <w:rPr>
                <w:color w:val="444444"/>
                <w:sz w:val="18"/>
              </w:rPr>
              <w:t>Data flow diagram (DFD) wajib untuk sistem yang memproses PII; pseudonymization untuk data testing; data retention policy otomatis; consent management untuk data nasabah; DPIA (Data Protection Impact Assessment) untuk sistem baru.</w:t>
            </w:r>
          </w:p>
          <w:p>
            <w:pPr>
              <w:spacing w:before="0" w:after="80"/>
              <w:ind w:left="170"/>
            </w:pPr>
            <w:r>
              <w:rPr>
                <w:i/>
                <w:color w:val="777777"/>
                <w:sz w:val="16"/>
              </w:rPr>
              <w:t>Ref: UU PDP No. 27/2022, ISO 27002:2022 §8.11, §5.34</w:t>
            </w:r>
          </w:p>
        </w:tc>
      </w:tr>
    </w:tbl>
    <w:p/>
    <w:tbl>
      <w:tblPr>
        <w:tblStyle w:val="TableGrid"/>
        <w:tblW w:type="auto" w:w="0"/>
        <w:tblLook w:firstColumn="1" w:firstRow="1" w:lastColumn="0" w:lastRow="0" w:noHBand="0" w:noVBand="1" w:val="04A0"/>
      </w:tblPr>
      <w:tblGrid>
        <w:gridCol w:w="9355"/>
      </w:tblGrid>
      <w:tr>
        <w:tc>
          <w:tcPr>
            <w:tcW w:type="dxa" w:w="9355"/>
            <w:shd w:val="clear" w:color="auto" w:fill="E8F0FE"/>
            <w:tcBdr>
              <w:top w:val="single" w:sz="18" w:space="0" w:color="0B3D91"/>
              <w:left w:val="single" w:sz="18" w:space="0" w:color="0B3D91"/>
              <w:bottom w:val="single" w:sz="18" w:space="0" w:color="0B3D91"/>
              <w:right w:val="single" w:sz="18" w:space="0" w:color="0B3D91"/>
            </w:tcBdr>
          </w:tcPr>
          <w:p>
            <w:pPr>
              <w:spacing w:before="120" w:after="40"/>
              <w:ind w:left="170"/>
            </w:pPr>
            <w:r>
              <w:rPr>
                <w:b/>
                <w:color w:val="0B3D91"/>
                <w:sz w:val="22"/>
              </w:rPr>
              <w:t xml:space="preserve">Prinsip 10  </w:t>
            </w:r>
            <w:r>
              <w:rPr>
                <w:b/>
                <w:color w:val="0B3D91"/>
                <w:sz w:val="22"/>
              </w:rPr>
              <w:t>Secure Communications (Keamanan Komunikasi)</w:t>
            </w:r>
          </w:p>
          <w:p>
            <w:pPr>
              <w:spacing w:before="40" w:after="40"/>
              <w:ind w:left="170"/>
            </w:pPr>
            <w:r>
              <w:rPr>
                <w:sz w:val="20"/>
              </w:rPr>
              <w:t>Semua komunikasi antar komponen sistem — baik internal maupun eksternal — harus dienkripsi menggunakan protokol yang kuat. Tidak ada komunikasi plaintext untuk data sensitif, bahkan di jaringan internal.</w:t>
            </w:r>
          </w:p>
          <w:p>
            <w:pPr>
              <w:spacing w:before="40" w:after="80"/>
              <w:ind w:left="170"/>
            </w:pPr>
            <w:r>
              <w:rPr>
                <w:b/>
                <w:color w:val="0B3D91"/>
                <w:sz w:val="18"/>
              </w:rPr>
              <w:t xml:space="preserve">Kontrol: </w:t>
            </w:r>
            <w:r>
              <w:rPr>
                <w:color w:val="444444"/>
                <w:sz w:val="18"/>
              </w:rPr>
              <w:t>TLS 1.2 minimum (TLS 1.3 diutamakan) untuk semua API dan web traffic; mTLS untuk service-to-service internal; SSH key-based authentication (no password); VPN untuk remote access; certificate pinning untuk mobile app.</w:t>
            </w:r>
          </w:p>
          <w:p>
            <w:pPr>
              <w:spacing w:before="0" w:after="80"/>
              <w:ind w:left="170"/>
            </w:pPr>
            <w:r>
              <w:rPr>
                <w:i/>
                <w:color w:val="777777"/>
                <w:sz w:val="16"/>
              </w:rPr>
              <w:t>Ref: ISO 27002:2022 §8.24, §8.26, NIST SP 800-52</w:t>
            </w:r>
          </w:p>
        </w:tc>
      </w:tr>
    </w:tbl>
    <w:p/>
    <w:tbl>
      <w:tblPr>
        <w:tblStyle w:val="TableGrid"/>
        <w:tblW w:type="auto" w:w="0"/>
        <w:tblLook w:firstColumn="1" w:firstRow="1" w:lastColumn="0" w:lastRow="0" w:noHBand="0" w:noVBand="1" w:val="04A0"/>
      </w:tblPr>
      <w:tblGrid>
        <w:gridCol w:w="9355"/>
      </w:tblGrid>
      <w:tr>
        <w:tc>
          <w:tcPr>
            <w:tcW w:type="dxa" w:w="9355"/>
            <w:shd w:val="clear" w:color="auto" w:fill="E8F0FE"/>
            <w:tcBdr>
              <w:top w:val="single" w:sz="18" w:space="0" w:color="0B3D91"/>
              <w:left w:val="single" w:sz="18" w:space="0" w:color="0B3D91"/>
              <w:bottom w:val="single" w:sz="18" w:space="0" w:color="0B3D91"/>
              <w:right w:val="single" w:sz="18" w:space="0" w:color="0B3D91"/>
            </w:tcBdr>
          </w:tcPr>
          <w:p>
            <w:pPr>
              <w:spacing w:before="120" w:after="40"/>
              <w:ind w:left="170"/>
            </w:pPr>
            <w:r>
              <w:rPr>
                <w:b/>
                <w:color w:val="0B3D91"/>
                <w:sz w:val="22"/>
              </w:rPr>
              <w:t xml:space="preserve">Prinsip 11  </w:t>
            </w:r>
            <w:r>
              <w:rPr>
                <w:b/>
                <w:color w:val="0B3D91"/>
                <w:sz w:val="22"/>
              </w:rPr>
              <w:t>Secure Supply Chain</w:t>
            </w:r>
          </w:p>
          <w:p>
            <w:pPr>
              <w:spacing w:before="40" w:after="40"/>
              <w:ind w:left="170"/>
            </w:pPr>
            <w:r>
              <w:rPr>
                <w:sz w:val="20"/>
              </w:rPr>
              <w:t>Risiko keamanan dari third-party software, library, dan vendor harus dikelola secara aktif. Software Bill of Materials (SBOM) harus dihasilkan untuk semua sistem dan diperbarui setiap release.</w:t>
            </w:r>
          </w:p>
          <w:p>
            <w:pPr>
              <w:spacing w:before="40" w:after="80"/>
              <w:ind w:left="170"/>
            </w:pPr>
            <w:r>
              <w:rPr>
                <w:b/>
                <w:color w:val="0B3D91"/>
                <w:sz w:val="18"/>
              </w:rPr>
              <w:t xml:space="preserve">Kontrol: </w:t>
            </w:r>
            <w:r>
              <w:rPr>
                <w:color w:val="444444"/>
                <w:sz w:val="18"/>
              </w:rPr>
              <w:t>Software Composition Analysis (SCA) pada CI/CD pipeline; vendor security assessment sebelum kontrak; SBOM per release; monitoring CVE untuk semua dependency; code signing untuk semua artefak deployment.</w:t>
            </w:r>
          </w:p>
          <w:p>
            <w:pPr>
              <w:spacing w:before="0" w:after="80"/>
              <w:ind w:left="170"/>
            </w:pPr>
            <w:r>
              <w:rPr>
                <w:i/>
                <w:color w:val="777777"/>
                <w:sz w:val="16"/>
              </w:rPr>
              <w:t>Ref: ISO 27002:2022 §5.19, §5.20, §5.22, NIST SSDF</w:t>
            </w:r>
          </w:p>
        </w:tc>
      </w:tr>
    </w:tbl>
    <w:p/>
    <w:tbl>
      <w:tblPr>
        <w:tblStyle w:val="TableGrid"/>
        <w:tblW w:type="auto" w:w="0"/>
        <w:tblLook w:firstColumn="1" w:firstRow="1" w:lastColumn="0" w:lastRow="0" w:noHBand="0" w:noVBand="1" w:val="04A0"/>
      </w:tblPr>
      <w:tblGrid>
        <w:gridCol w:w="9355"/>
      </w:tblGrid>
      <w:tr>
        <w:tc>
          <w:tcPr>
            <w:tcW w:type="dxa" w:w="9355"/>
            <w:shd w:val="clear" w:color="auto" w:fill="E8F0FE"/>
            <w:tcBdr>
              <w:top w:val="single" w:sz="18" w:space="0" w:color="0B3D91"/>
              <w:left w:val="single" w:sz="18" w:space="0" w:color="0B3D91"/>
              <w:bottom w:val="single" w:sz="18" w:space="0" w:color="0B3D91"/>
              <w:right w:val="single" w:sz="18" w:space="0" w:color="0B3D91"/>
            </w:tcBdr>
          </w:tcPr>
          <w:p>
            <w:pPr>
              <w:spacing w:before="120" w:after="40"/>
              <w:ind w:left="170"/>
            </w:pPr>
            <w:r>
              <w:rPr>
                <w:b/>
                <w:color w:val="0B3D91"/>
                <w:sz w:val="22"/>
              </w:rPr>
              <w:t xml:space="preserve">Prinsip 12  </w:t>
            </w:r>
            <w:r>
              <w:rPr>
                <w:b/>
                <w:color w:val="0B3D91"/>
                <w:sz w:val="22"/>
              </w:rPr>
              <w:t>Auditability and Non-Repudiation</w:t>
            </w:r>
          </w:p>
          <w:p>
            <w:pPr>
              <w:spacing w:before="40" w:after="40"/>
              <w:ind w:left="170"/>
            </w:pPr>
            <w:r>
              <w:rPr>
                <w:sz w:val="20"/>
              </w:rPr>
              <w:t>Semua aksi yang dilakukan pada sistem harus dapat diaudit secara forensik. Log tidak boleh dapat dimodifikasi atau dihapus oleh pengguna yang sama yang melakukan aksi tersebut. Setiap transaksi kritikal harus memiliki jejak audit yang lengkap.</w:t>
            </w:r>
          </w:p>
          <w:p>
            <w:pPr>
              <w:spacing w:before="40" w:after="80"/>
              <w:ind w:left="170"/>
            </w:pPr>
            <w:r>
              <w:rPr>
                <w:b/>
                <w:color w:val="0B3D91"/>
                <w:sz w:val="18"/>
              </w:rPr>
              <w:t xml:space="preserve">Kontrol: </w:t>
            </w:r>
            <w:r>
              <w:rPr>
                <w:color w:val="444444"/>
                <w:sz w:val="18"/>
              </w:rPr>
              <w:t>Immutable audit logs (write-once storage atau SIEM); log harus mencatat: SIAPA, APA, KAPAN, DARI MANA, HASIL; digital signature untuk log kritikal; log retention minimal 5 tahun untuk transaksi keuangan (sesuai regulasi OJK).</w:t>
            </w:r>
          </w:p>
          <w:p>
            <w:pPr>
              <w:spacing w:before="0" w:after="80"/>
              <w:ind w:left="170"/>
            </w:pPr>
            <w:r>
              <w:rPr>
                <w:i/>
                <w:color w:val="777777"/>
                <w:sz w:val="16"/>
              </w:rPr>
              <w:t>Ref: ISO 27002:2022 §8.15, §8.17, POJK No. 11/2022</w:t>
            </w:r>
          </w:p>
        </w:tc>
      </w:tr>
    </w:tbl>
    <w:p/>
    <w:p>
      <w:pPr>
        <w:spacing w:before="280" w:after="120"/>
        <w:pBdr>
          <w:bottom w:val="single" w:sz="6" w:color="1F497D"/>
        </w:pBdr>
      </w:pPr>
      <w:r>
        <w:rPr>
          <w:b/>
          <w:color w:val="1F497D"/>
          <w:sz w:val="28"/>
        </w:rPr>
        <w:t>5. Klasifikasi Sistem dan Persyaratan Keamanan</w:t>
      </w:r>
    </w:p>
    <w:p>
      <w:pPr>
        <w:spacing w:before="40" w:after="80"/>
      </w:pPr>
      <w:r>
        <w:rPr>
          <w:sz w:val="22"/>
        </w:rPr>
        <w:t>Setiap sistem diklasifikasikan ke dalam 4 tier berdasarkan kritikalitas dan sensitivitas data yang diproses. Persyaratan keamanan bersifat kumulatif — Tier-1 harus memenuhi semua persyaratan Tier-2, 3, dan 4.</w:t>
      </w:r>
    </w:p>
    <w:tbl>
      <w:tblPr>
        <w:tblStyle w:val="TableGrid"/>
        <w:tblW w:type="auto" w:w="0"/>
        <w:tblLook w:firstColumn="1" w:firstRow="1" w:lastColumn="0" w:lastRow="0" w:noHBand="0" w:noVBand="1" w:val="04A0"/>
      </w:tblPr>
      <w:tblGrid>
        <w:gridCol w:w="2339"/>
        <w:gridCol w:w="2339"/>
        <w:gridCol w:w="2339"/>
        <w:gridCol w:w="2339"/>
      </w:tblGrid>
      <w:tr>
        <w:tc>
          <w:tcPr>
            <w:tcW w:type="dxa" w:w="850"/>
            <w:shd w:val="clear" w:color="auto" w:fill="0B3D91"/>
          </w:tcPr>
          <w:p>
            <w:pPr>
              <w:spacing w:before="60" w:after="60"/>
            </w:pPr>
            <w:r>
              <w:rPr>
                <w:b/>
                <w:color w:val="FFFFFF"/>
                <w:sz w:val="18"/>
              </w:rPr>
              <w:t>Tier</w:t>
            </w:r>
          </w:p>
        </w:tc>
        <w:tc>
          <w:tcPr>
            <w:tcW w:type="dxa" w:w="1417"/>
            <w:shd w:val="clear" w:color="auto" w:fill="0B3D91"/>
          </w:tcPr>
          <w:p>
            <w:pPr>
              <w:spacing w:before="60" w:after="60"/>
            </w:pPr>
            <w:r>
              <w:rPr>
                <w:b/>
                <w:color w:val="FFFFFF"/>
                <w:sz w:val="18"/>
              </w:rPr>
              <w:t>Klasifikasi</w:t>
            </w:r>
          </w:p>
        </w:tc>
        <w:tc>
          <w:tcPr>
            <w:tcW w:type="dxa" w:w="2551"/>
            <w:shd w:val="clear" w:color="auto" w:fill="0B3D91"/>
          </w:tcPr>
          <w:p>
            <w:pPr>
              <w:spacing w:before="60" w:after="60"/>
            </w:pPr>
            <w:r>
              <w:rPr>
                <w:b/>
                <w:color w:val="FFFFFF"/>
                <w:sz w:val="18"/>
              </w:rPr>
              <w:t>Contoh Sistem</w:t>
            </w:r>
          </w:p>
        </w:tc>
        <w:tc>
          <w:tcPr>
            <w:tcW w:type="dxa" w:w="4535"/>
            <w:shd w:val="clear" w:color="auto" w:fill="0B3D91"/>
          </w:tcPr>
          <w:p>
            <w:pPr>
              <w:spacing w:before="60" w:after="60"/>
            </w:pPr>
            <w:r>
              <w:rPr>
                <w:b/>
                <w:color w:val="FFFFFF"/>
                <w:sz w:val="18"/>
              </w:rPr>
              <w:t>Persyaratan Minimal</w:t>
            </w:r>
          </w:p>
        </w:tc>
      </w:tr>
      <w:tr>
        <w:tc>
          <w:tcPr>
            <w:tcW w:type="dxa" w:w="850"/>
            <w:shd w:val="clear" w:color="auto" w:fill="F0F4FF"/>
          </w:tcPr>
          <w:p>
            <w:pPr>
              <w:spacing w:before="40" w:after="40"/>
            </w:pPr>
            <w:r>
              <w:rPr>
                <w:sz w:val="18"/>
              </w:rPr>
              <w:t>Tier-1</w:t>
            </w:r>
          </w:p>
        </w:tc>
        <w:tc>
          <w:tcPr>
            <w:tcW w:type="dxa" w:w="1417"/>
            <w:shd w:val="clear" w:color="auto" w:fill="F0F4FF"/>
          </w:tcPr>
          <w:p>
            <w:pPr>
              <w:spacing w:before="40" w:after="40"/>
            </w:pPr>
            <w:r>
              <w:rPr>
                <w:sz w:val="18"/>
              </w:rPr>
              <w:t>Mission Critical</w:t>
            </w:r>
          </w:p>
        </w:tc>
        <w:tc>
          <w:tcPr>
            <w:tcW w:type="dxa" w:w="2551"/>
            <w:shd w:val="clear" w:color="auto" w:fill="F0F4FF"/>
          </w:tcPr>
          <w:p>
            <w:pPr>
              <w:spacing w:before="40" w:after="40"/>
            </w:pPr>
            <w:r>
              <w:rPr>
                <w:sz w:val="18"/>
              </w:rPr>
              <w:t>Core Insurance System, Sistem Klaim, Payment Gateway, Integrasi OJK</w:t>
            </w:r>
          </w:p>
        </w:tc>
        <w:tc>
          <w:tcPr>
            <w:tcW w:type="dxa" w:w="4535"/>
            <w:shd w:val="clear" w:color="auto" w:fill="F0F4FF"/>
          </w:tcPr>
          <w:p>
            <w:pPr>
              <w:spacing w:before="40" w:after="40"/>
            </w:pPr>
            <w:r>
              <w:rPr>
                <w:sz w:val="18"/>
              </w:rPr>
              <w:t>Semua 12 prinsip wajib; Threat Modeling STRIDE; Penetration Test tahunan; BCP/DR test 2x/tahun; 24/7 SOC monitoring; RTO ≤ 4 jam; RPO ≤ 1 jam</w:t>
            </w:r>
          </w:p>
        </w:tc>
      </w:tr>
      <w:tr>
        <w:tc>
          <w:tcPr>
            <w:tcW w:type="dxa" w:w="850"/>
            <w:shd w:val="clear" w:color="auto" w:fill="FFFFFF"/>
          </w:tcPr>
          <w:p>
            <w:pPr>
              <w:spacing w:before="40" w:after="40"/>
            </w:pPr>
            <w:r>
              <w:rPr>
                <w:sz w:val="18"/>
              </w:rPr>
              <w:t>Tier-2</w:t>
            </w:r>
          </w:p>
        </w:tc>
        <w:tc>
          <w:tcPr>
            <w:tcW w:type="dxa" w:w="1417"/>
            <w:shd w:val="clear" w:color="auto" w:fill="FFFFFF"/>
          </w:tcPr>
          <w:p>
            <w:pPr>
              <w:spacing w:before="40" w:after="40"/>
            </w:pPr>
            <w:r>
              <w:rPr>
                <w:sz w:val="18"/>
              </w:rPr>
              <w:t>Business Critical</w:t>
            </w:r>
          </w:p>
        </w:tc>
        <w:tc>
          <w:tcPr>
            <w:tcW w:type="dxa" w:w="2551"/>
            <w:shd w:val="clear" w:color="auto" w:fill="FFFFFF"/>
          </w:tcPr>
          <w:p>
            <w:pPr>
              <w:spacing w:before="40" w:after="40"/>
            </w:pPr>
            <w:r>
              <w:rPr>
                <w:sz w:val="18"/>
              </w:rPr>
              <w:t>Portal Nasabah, Aplikasi Mobile, CRM, Sistem Underwriting</w:t>
            </w:r>
          </w:p>
        </w:tc>
        <w:tc>
          <w:tcPr>
            <w:tcW w:type="dxa" w:w="4535"/>
            <w:shd w:val="clear" w:color="auto" w:fill="FFFFFF"/>
          </w:tcPr>
          <w:p>
            <w:pPr>
              <w:spacing w:before="40" w:after="40"/>
            </w:pPr>
            <w:r>
              <w:rPr>
                <w:sz w:val="18"/>
              </w:rPr>
              <w:t>Prinsip 1-10 wajib; DAST &amp; SAST pada CI/CD; Pentest 1x/tahun; SOC monitoring jam kerja; RTO ≤ 8 jam; RPO ≤ 4 jam</w:t>
            </w:r>
          </w:p>
        </w:tc>
      </w:tr>
      <w:tr>
        <w:tc>
          <w:tcPr>
            <w:tcW w:type="dxa" w:w="850"/>
            <w:shd w:val="clear" w:color="auto" w:fill="F0F4FF"/>
          </w:tcPr>
          <w:p>
            <w:pPr>
              <w:spacing w:before="40" w:after="40"/>
            </w:pPr>
            <w:r>
              <w:rPr>
                <w:sz w:val="18"/>
              </w:rPr>
              <w:t>Tier-3</w:t>
            </w:r>
          </w:p>
        </w:tc>
        <w:tc>
          <w:tcPr>
            <w:tcW w:type="dxa" w:w="1417"/>
            <w:shd w:val="clear" w:color="auto" w:fill="F0F4FF"/>
          </w:tcPr>
          <w:p>
            <w:pPr>
              <w:spacing w:before="40" w:after="40"/>
            </w:pPr>
            <w:r>
              <w:rPr>
                <w:sz w:val="18"/>
              </w:rPr>
              <w:t>Business Important</w:t>
            </w:r>
          </w:p>
        </w:tc>
        <w:tc>
          <w:tcPr>
            <w:tcW w:type="dxa" w:w="2551"/>
            <w:shd w:val="clear" w:color="auto" w:fill="F0F4FF"/>
          </w:tcPr>
          <w:p>
            <w:pPr>
              <w:spacing w:before="40" w:after="40"/>
            </w:pPr>
            <w:r>
              <w:rPr>
                <w:sz w:val="18"/>
              </w:rPr>
              <w:t>HR System, ERP, Email, Collaboration Platform</w:t>
            </w:r>
          </w:p>
        </w:tc>
        <w:tc>
          <w:tcPr>
            <w:tcW w:type="dxa" w:w="4535"/>
            <w:shd w:val="clear" w:color="auto" w:fill="F0F4FF"/>
          </w:tcPr>
          <w:p>
            <w:pPr>
              <w:spacing w:before="40" w:after="40"/>
            </w:pPr>
            <w:r>
              <w:rPr>
                <w:sz w:val="18"/>
              </w:rPr>
              <w:t>Prinsip 1-8 wajib; SAST pada CI/CD; Vulnerability Assessment 2x/tahun; RTO ≤ 24 jam; RPO ≤ 8 jam</w:t>
            </w:r>
          </w:p>
        </w:tc>
      </w:tr>
      <w:tr>
        <w:tc>
          <w:tcPr>
            <w:tcW w:type="dxa" w:w="850"/>
            <w:shd w:val="clear" w:color="auto" w:fill="FFFFFF"/>
          </w:tcPr>
          <w:p>
            <w:pPr>
              <w:spacing w:before="40" w:after="40"/>
            </w:pPr>
            <w:r>
              <w:rPr>
                <w:sz w:val="18"/>
              </w:rPr>
              <w:t>Tier-4</w:t>
            </w:r>
          </w:p>
        </w:tc>
        <w:tc>
          <w:tcPr>
            <w:tcW w:type="dxa" w:w="1417"/>
            <w:shd w:val="clear" w:color="auto" w:fill="FFFFFF"/>
          </w:tcPr>
          <w:p>
            <w:pPr>
              <w:spacing w:before="40" w:after="40"/>
            </w:pPr>
            <w:r>
              <w:rPr>
                <w:sz w:val="18"/>
              </w:rPr>
              <w:t>Supporting</w:t>
            </w:r>
          </w:p>
        </w:tc>
        <w:tc>
          <w:tcPr>
            <w:tcW w:type="dxa" w:w="2551"/>
            <w:shd w:val="clear" w:color="auto" w:fill="FFFFFF"/>
          </w:tcPr>
          <w:p>
            <w:pPr>
              <w:spacing w:before="40" w:after="40"/>
            </w:pPr>
            <w:r>
              <w:rPr>
                <w:sz w:val="18"/>
              </w:rPr>
              <w:t>Internal Tools, Dev/Test Environment, Monitoring Systems</w:t>
            </w:r>
          </w:p>
        </w:tc>
        <w:tc>
          <w:tcPr>
            <w:tcW w:type="dxa" w:w="4535"/>
            <w:shd w:val="clear" w:color="auto" w:fill="FFFFFF"/>
          </w:tcPr>
          <w:p>
            <w:pPr>
              <w:spacing w:before="40" w:after="40"/>
            </w:pPr>
            <w:r>
              <w:rPr>
                <w:sz w:val="18"/>
              </w:rPr>
              <w:t>Prinsip 1-5 wajib; Basic vulnerability scan; Isolated dari produksi; No production data allowed; RTO ≤ 72 jam</w:t>
            </w:r>
          </w:p>
        </w:tc>
      </w:tr>
    </w:tbl>
    <w:p/>
    <w:p>
      <w:pPr>
        <w:spacing w:before="280" w:after="120"/>
        <w:pBdr>
          <w:bottom w:val="single" w:sz="6" w:color="1F497D"/>
        </w:pBdr>
      </w:pPr>
      <w:r>
        <w:rPr>
          <w:b/>
          <w:color w:val="1F497D"/>
          <w:sz w:val="28"/>
        </w:rPr>
        <w:t>6. Security Gates dalam SDLC</w:t>
      </w:r>
    </w:p>
    <w:p>
      <w:pPr>
        <w:spacing w:before="40" w:after="80"/>
      </w:pPr>
      <w:r>
        <w:rPr>
          <w:sz w:val="22"/>
        </w:rPr>
        <w:t>Setiap sistem harus melewati Security Gate di setiap fase SDLC sebelum dapat melanjutkan ke fase berikutnya. Security Gate bersifat mandatory — proyek TIDAK DAPAT dilanjutkan tanpa persetujuan CISO atau Security Architect.</w:t>
      </w:r>
    </w:p>
    <w:tbl>
      <w:tblPr>
        <w:tblStyle w:val="TableGrid"/>
        <w:tblW w:type="auto" w:w="0"/>
        <w:tblLook w:firstColumn="1" w:firstRow="1" w:lastColumn="0" w:lastRow="0" w:noHBand="0" w:noVBand="1" w:val="04A0"/>
      </w:tblPr>
      <w:tblGrid>
        <w:gridCol w:w="2339"/>
        <w:gridCol w:w="2339"/>
        <w:gridCol w:w="2339"/>
        <w:gridCol w:w="2339"/>
      </w:tblGrid>
      <w:tr>
        <w:tc>
          <w:tcPr>
            <w:tcW w:type="dxa" w:w="850"/>
            <w:shd w:val="clear" w:color="auto" w:fill="0B3D91"/>
          </w:tcPr>
          <w:p>
            <w:pPr>
              <w:spacing w:before="60" w:after="60"/>
              <w:ind w:left="113"/>
            </w:pPr>
            <w:r>
              <w:rPr>
                <w:b/>
                <w:color w:val="FFFFFF"/>
                <w:sz w:val="18"/>
              </w:rPr>
              <w:t>Phase 1</w:t>
            </w:r>
          </w:p>
        </w:tc>
        <w:tc>
          <w:tcPr>
            <w:tcW w:type="dxa" w:w="1417"/>
            <w:shd w:val="clear" w:color="auto" w:fill="1565C0"/>
          </w:tcPr>
          <w:p>
            <w:pPr>
              <w:spacing w:before="60" w:after="60"/>
              <w:ind w:left="113"/>
            </w:pPr>
            <w:r>
              <w:rPr>
                <w:b/>
                <w:color w:val="FFFFFF"/>
                <w:sz w:val="18"/>
              </w:rPr>
              <w:t>Requirements &amp; Planning</w:t>
            </w:r>
          </w:p>
        </w:tc>
        <w:tc>
          <w:tcPr>
            <w:tcW w:type="dxa" w:w="1701"/>
            <w:shd w:val="clear" w:color="auto" w:fill="2E7D32"/>
          </w:tcPr>
          <w:p>
            <w:pPr>
              <w:spacing w:before="60" w:after="60"/>
              <w:ind w:left="113"/>
            </w:pPr>
            <w:r>
              <w:rPr>
                <w:b/>
                <w:color w:val="FFFFFF"/>
                <w:sz w:val="18"/>
              </w:rPr>
              <w:t>Security Gate 1: SRS Review</w:t>
            </w:r>
          </w:p>
        </w:tc>
        <w:tc>
          <w:tcPr>
            <w:tcW w:type="dxa" w:w="5386"/>
            <w:shd w:val="clear" w:color="auto" w:fill="F5F5F5"/>
            <w:shd w:val="clear" w:color="auto" w:fill="F5F5F5"/>
          </w:tcPr>
          <w:p>
            <w:pPr>
              <w:spacing w:before="60" w:after="60"/>
              <w:ind w:left="113"/>
            </w:pPr>
            <w:r>
              <w:rPr>
                <w:b/>
                <w:sz w:val="18"/>
              </w:rPr>
            </w:r>
          </w:p>
          <w:p>
            <w:pPr>
              <w:spacing w:before="20" w:after="20"/>
              <w:ind w:left="170"/>
            </w:pPr>
            <w:r>
              <w:rPr>
                <w:sz w:val="18"/>
              </w:rPr>
              <w:t>▶ Identifikasi aset kritikal dan klasifikasi tier sistem</w:t>
            </w:r>
          </w:p>
          <w:p>
            <w:pPr>
              <w:spacing w:before="20" w:after="20"/>
              <w:ind w:left="170"/>
            </w:pPr>
            <w:r>
              <w:rPr>
                <w:sz w:val="18"/>
              </w:rPr>
              <w:t>▶ Menyusun Security Requirements Specification (SRS)</w:t>
            </w:r>
          </w:p>
          <w:p>
            <w:pPr>
              <w:spacing w:before="20" w:after="20"/>
              <w:ind w:left="170"/>
            </w:pPr>
            <w:r>
              <w:rPr>
                <w:sz w:val="18"/>
              </w:rPr>
              <w:t>▶ Identifikasi regulasi yang berlaku (OJK, UU PDP, dsb.)</w:t>
            </w:r>
          </w:p>
          <w:p>
            <w:pPr>
              <w:spacing w:before="20" w:after="20"/>
              <w:ind w:left="170"/>
            </w:pPr>
            <w:r>
              <w:rPr>
                <w:sz w:val="18"/>
              </w:rPr>
              <w:t>▶ Privacy Impact Assessment awal</w:t>
            </w:r>
          </w:p>
          <w:p>
            <w:pPr>
              <w:spacing w:before="20" w:after="20"/>
              <w:ind w:left="170"/>
            </w:pPr>
            <w:r>
              <w:rPr>
                <w:sz w:val="18"/>
              </w:rPr>
              <w:t>▶ Penentuan arsitektur keamanan high-level</w:t>
            </w:r>
          </w:p>
          <w:p>
            <w:pPr>
              <w:spacing w:before="60" w:after="40"/>
              <w:ind w:left="170"/>
            </w:pPr>
            <w:r>
              <w:rPr>
                <w:b/>
                <w:color w:val="0B3D91"/>
                <w:sz w:val="17"/>
              </w:rPr>
              <w:t xml:space="preserve">Exit Criteria: </w:t>
            </w:r>
            <w:r>
              <w:rPr>
                <w:i/>
                <w:sz w:val="17"/>
              </w:rPr>
              <w:t>SRS disetujui oleh Security Architect; Tier sistem ditentukan; Compliance checklist selesai</w:t>
            </w:r>
          </w:p>
        </w:tc>
      </w:tr>
    </w:tbl>
    <w:p/>
    <w:tbl>
      <w:tblPr>
        <w:tblStyle w:val="TableGrid"/>
        <w:tblW w:type="auto" w:w="0"/>
        <w:tblLook w:firstColumn="1" w:firstRow="1" w:lastColumn="0" w:lastRow="0" w:noHBand="0" w:noVBand="1" w:val="04A0"/>
      </w:tblPr>
      <w:tblGrid>
        <w:gridCol w:w="2339"/>
        <w:gridCol w:w="2339"/>
        <w:gridCol w:w="2339"/>
        <w:gridCol w:w="2339"/>
      </w:tblGrid>
      <w:tr>
        <w:tc>
          <w:tcPr>
            <w:tcW w:type="dxa" w:w="850"/>
            <w:shd w:val="clear" w:color="auto" w:fill="0B3D91"/>
          </w:tcPr>
          <w:p>
            <w:pPr>
              <w:spacing w:before="60" w:after="60"/>
              <w:ind w:left="113"/>
            </w:pPr>
            <w:r>
              <w:rPr>
                <w:b/>
                <w:color w:val="FFFFFF"/>
                <w:sz w:val="18"/>
              </w:rPr>
              <w:t>Phase 2</w:t>
            </w:r>
          </w:p>
        </w:tc>
        <w:tc>
          <w:tcPr>
            <w:tcW w:type="dxa" w:w="1417"/>
            <w:shd w:val="clear" w:color="auto" w:fill="1565C0"/>
          </w:tcPr>
          <w:p>
            <w:pPr>
              <w:spacing w:before="60" w:after="60"/>
              <w:ind w:left="113"/>
            </w:pPr>
            <w:r>
              <w:rPr>
                <w:b/>
                <w:color w:val="FFFFFF"/>
                <w:sz w:val="18"/>
              </w:rPr>
              <w:t>Architecture &amp; Design</w:t>
            </w:r>
          </w:p>
        </w:tc>
        <w:tc>
          <w:tcPr>
            <w:tcW w:type="dxa" w:w="1701"/>
            <w:shd w:val="clear" w:color="auto" w:fill="2E7D32"/>
          </w:tcPr>
          <w:p>
            <w:pPr>
              <w:spacing w:before="60" w:after="60"/>
              <w:ind w:left="113"/>
            </w:pPr>
            <w:r>
              <w:rPr>
                <w:b/>
                <w:color w:val="FFFFFF"/>
                <w:sz w:val="18"/>
              </w:rPr>
              <w:t>Security Gate 2: Design Review</w:t>
            </w:r>
          </w:p>
        </w:tc>
        <w:tc>
          <w:tcPr>
            <w:tcW w:type="dxa" w:w="5386"/>
            <w:shd w:val="clear" w:color="auto" w:fill="F5F5F5"/>
            <w:shd w:val="clear" w:color="auto" w:fill="F5F5F5"/>
          </w:tcPr>
          <w:p>
            <w:pPr>
              <w:spacing w:before="60" w:after="60"/>
              <w:ind w:left="113"/>
            </w:pPr>
            <w:r>
              <w:rPr>
                <w:b/>
                <w:sz w:val="18"/>
              </w:rPr>
            </w:r>
          </w:p>
          <w:p>
            <w:pPr>
              <w:spacing w:before="20" w:after="20"/>
              <w:ind w:left="170"/>
            </w:pPr>
            <w:r>
              <w:rPr>
                <w:sz w:val="18"/>
              </w:rPr>
              <w:t>▶ Threat Modeling menggunakan metodologi STRIDE</w:t>
            </w:r>
          </w:p>
          <w:p>
            <w:pPr>
              <w:spacing w:before="20" w:after="20"/>
              <w:ind w:left="170"/>
            </w:pPr>
            <w:r>
              <w:rPr>
                <w:sz w:val="18"/>
              </w:rPr>
              <w:t>▶ Pembuatan Security Architecture Document (SAD)</w:t>
            </w:r>
          </w:p>
          <w:p>
            <w:pPr>
              <w:spacing w:before="20" w:after="20"/>
              <w:ind w:left="170"/>
            </w:pPr>
            <w:r>
              <w:rPr>
                <w:sz w:val="18"/>
              </w:rPr>
              <w:t>▶ Desain kontrol keamanan berdasarkan hasil threat model</w:t>
            </w:r>
          </w:p>
          <w:p>
            <w:pPr>
              <w:spacing w:before="20" w:after="20"/>
              <w:ind w:left="170"/>
            </w:pPr>
            <w:r>
              <w:rPr>
                <w:sz w:val="18"/>
              </w:rPr>
              <w:t>▶ Review Privacy by Design dan data flow diagram</w:t>
            </w:r>
          </w:p>
          <w:p>
            <w:pPr>
              <w:spacing w:before="20" w:after="20"/>
              <w:ind w:left="170"/>
            </w:pPr>
            <w:r>
              <w:rPr>
                <w:sz w:val="18"/>
              </w:rPr>
              <w:t>▶ Penetration testing scope planning</w:t>
            </w:r>
          </w:p>
          <w:p>
            <w:pPr>
              <w:spacing w:before="60" w:after="40"/>
              <w:ind w:left="170"/>
            </w:pPr>
            <w:r>
              <w:rPr>
                <w:b/>
                <w:color w:val="0B3D91"/>
                <w:sz w:val="17"/>
              </w:rPr>
              <w:t xml:space="preserve">Exit Criteria: </w:t>
            </w:r>
            <w:r>
              <w:rPr>
                <w:i/>
                <w:sz w:val="17"/>
              </w:rPr>
              <w:t>Threat Model disetujui CISO; Semua risiko HIGH memiliki mitigasi; SAD di-sign off</w:t>
            </w:r>
          </w:p>
        </w:tc>
      </w:tr>
    </w:tbl>
    <w:p/>
    <w:tbl>
      <w:tblPr>
        <w:tblStyle w:val="TableGrid"/>
        <w:tblW w:type="auto" w:w="0"/>
        <w:tblLook w:firstColumn="1" w:firstRow="1" w:lastColumn="0" w:lastRow="0" w:noHBand="0" w:noVBand="1" w:val="04A0"/>
      </w:tblPr>
      <w:tblGrid>
        <w:gridCol w:w="2339"/>
        <w:gridCol w:w="2339"/>
        <w:gridCol w:w="2339"/>
        <w:gridCol w:w="2339"/>
      </w:tblGrid>
      <w:tr>
        <w:tc>
          <w:tcPr>
            <w:tcW w:type="dxa" w:w="850"/>
            <w:shd w:val="clear" w:color="auto" w:fill="0B3D91"/>
          </w:tcPr>
          <w:p>
            <w:pPr>
              <w:spacing w:before="60" w:after="60"/>
              <w:ind w:left="113"/>
            </w:pPr>
            <w:r>
              <w:rPr>
                <w:b/>
                <w:color w:val="FFFFFF"/>
                <w:sz w:val="18"/>
              </w:rPr>
              <w:t>Phase 3</w:t>
            </w:r>
          </w:p>
        </w:tc>
        <w:tc>
          <w:tcPr>
            <w:tcW w:type="dxa" w:w="1417"/>
            <w:shd w:val="clear" w:color="auto" w:fill="1565C0"/>
          </w:tcPr>
          <w:p>
            <w:pPr>
              <w:spacing w:before="60" w:after="60"/>
              <w:ind w:left="113"/>
            </w:pPr>
            <w:r>
              <w:rPr>
                <w:b/>
                <w:color w:val="FFFFFF"/>
                <w:sz w:val="18"/>
              </w:rPr>
              <w:t>Development</w:t>
            </w:r>
          </w:p>
        </w:tc>
        <w:tc>
          <w:tcPr>
            <w:tcW w:type="dxa" w:w="1701"/>
            <w:shd w:val="clear" w:color="auto" w:fill="2E7D32"/>
          </w:tcPr>
          <w:p>
            <w:pPr>
              <w:spacing w:before="60" w:after="60"/>
              <w:ind w:left="113"/>
            </w:pPr>
            <w:r>
              <w:rPr>
                <w:b/>
                <w:color w:val="FFFFFF"/>
                <w:sz w:val="18"/>
              </w:rPr>
              <w:t>Security Gate 3: Code Security Review</w:t>
            </w:r>
          </w:p>
        </w:tc>
        <w:tc>
          <w:tcPr>
            <w:tcW w:type="dxa" w:w="5386"/>
            <w:shd w:val="clear" w:color="auto" w:fill="F5F5F5"/>
            <w:shd w:val="clear" w:color="auto" w:fill="F5F5F5"/>
          </w:tcPr>
          <w:p>
            <w:pPr>
              <w:spacing w:before="60" w:after="60"/>
              <w:ind w:left="113"/>
            </w:pPr>
            <w:r>
              <w:rPr>
                <w:b/>
                <w:sz w:val="18"/>
              </w:rPr>
            </w:r>
          </w:p>
          <w:p>
            <w:pPr>
              <w:spacing w:before="20" w:after="20"/>
              <w:ind w:left="170"/>
            </w:pPr>
            <w:r>
              <w:rPr>
                <w:sz w:val="18"/>
              </w:rPr>
              <w:t>▶ SAST (Static Application Security Testing) otomatis di CI/CD pipeline</w:t>
            </w:r>
          </w:p>
          <w:p>
            <w:pPr>
              <w:spacing w:before="20" w:after="20"/>
              <w:ind w:left="170"/>
            </w:pPr>
            <w:r>
              <w:rPr>
                <w:sz w:val="18"/>
              </w:rPr>
              <w:t>▶ Software Composition Analysis (SCA) untuk third-party library</w:t>
            </w:r>
          </w:p>
          <w:p>
            <w:pPr>
              <w:spacing w:before="20" w:after="20"/>
              <w:ind w:left="170"/>
            </w:pPr>
            <w:r>
              <w:rPr>
                <w:sz w:val="18"/>
              </w:rPr>
              <w:t>▶ Peer code review dengan security checklist</w:t>
            </w:r>
          </w:p>
          <w:p>
            <w:pPr>
              <w:spacing w:before="20" w:after="20"/>
              <w:ind w:left="170"/>
            </w:pPr>
            <w:r>
              <w:rPr>
                <w:sz w:val="18"/>
              </w:rPr>
              <w:t>▶ Unit testing untuk security controls (autentikasi, otorisasi, enkripsi)</w:t>
            </w:r>
          </w:p>
          <w:p>
            <w:pPr>
              <w:spacing w:before="20" w:after="20"/>
              <w:ind w:left="170"/>
            </w:pPr>
            <w:r>
              <w:rPr>
                <w:sz w:val="18"/>
              </w:rPr>
              <w:t>▶ Secret scanning — tidak ada credentials hardcoded</w:t>
            </w:r>
          </w:p>
          <w:p>
            <w:pPr>
              <w:spacing w:before="60" w:after="40"/>
              <w:ind w:left="170"/>
            </w:pPr>
            <w:r>
              <w:rPr>
                <w:b/>
                <w:color w:val="0B3D91"/>
                <w:sz w:val="17"/>
              </w:rPr>
              <w:t xml:space="preserve">Exit Criteria: </w:t>
            </w:r>
            <w:r>
              <w:rPr>
                <w:i/>
                <w:sz w:val="17"/>
              </w:rPr>
              <w:t>Zero Critical/High findings dari SAST; SCA tidak ada known Critical CVE; Code coverage security test ≥ 80%</w:t>
            </w:r>
          </w:p>
        </w:tc>
      </w:tr>
    </w:tbl>
    <w:p/>
    <w:tbl>
      <w:tblPr>
        <w:tblStyle w:val="TableGrid"/>
        <w:tblW w:type="auto" w:w="0"/>
        <w:tblLook w:firstColumn="1" w:firstRow="1" w:lastColumn="0" w:lastRow="0" w:noHBand="0" w:noVBand="1" w:val="04A0"/>
      </w:tblPr>
      <w:tblGrid>
        <w:gridCol w:w="2339"/>
        <w:gridCol w:w="2339"/>
        <w:gridCol w:w="2339"/>
        <w:gridCol w:w="2339"/>
      </w:tblGrid>
      <w:tr>
        <w:tc>
          <w:tcPr>
            <w:tcW w:type="dxa" w:w="850"/>
            <w:shd w:val="clear" w:color="auto" w:fill="0B3D91"/>
          </w:tcPr>
          <w:p>
            <w:pPr>
              <w:spacing w:before="60" w:after="60"/>
              <w:ind w:left="113"/>
            </w:pPr>
            <w:r>
              <w:rPr>
                <w:b/>
                <w:color w:val="FFFFFF"/>
                <w:sz w:val="18"/>
              </w:rPr>
              <w:t>Phase 4</w:t>
            </w:r>
          </w:p>
        </w:tc>
        <w:tc>
          <w:tcPr>
            <w:tcW w:type="dxa" w:w="1417"/>
            <w:shd w:val="clear" w:color="auto" w:fill="1565C0"/>
          </w:tcPr>
          <w:p>
            <w:pPr>
              <w:spacing w:before="60" w:after="60"/>
              <w:ind w:left="113"/>
            </w:pPr>
            <w:r>
              <w:rPr>
                <w:b/>
                <w:color w:val="FFFFFF"/>
                <w:sz w:val="18"/>
              </w:rPr>
              <w:t>Testing / QA</w:t>
            </w:r>
          </w:p>
        </w:tc>
        <w:tc>
          <w:tcPr>
            <w:tcW w:type="dxa" w:w="1701"/>
            <w:shd w:val="clear" w:color="auto" w:fill="2E7D32"/>
          </w:tcPr>
          <w:p>
            <w:pPr>
              <w:spacing w:before="60" w:after="60"/>
              <w:ind w:left="113"/>
            </w:pPr>
            <w:r>
              <w:rPr>
                <w:b/>
                <w:color w:val="FFFFFF"/>
                <w:sz w:val="18"/>
              </w:rPr>
              <w:t>Security Gate 4: Security Testing</w:t>
            </w:r>
          </w:p>
        </w:tc>
        <w:tc>
          <w:tcPr>
            <w:tcW w:type="dxa" w:w="5386"/>
            <w:shd w:val="clear" w:color="auto" w:fill="F5F5F5"/>
            <w:shd w:val="clear" w:color="auto" w:fill="F5F5F5"/>
          </w:tcPr>
          <w:p>
            <w:pPr>
              <w:spacing w:before="60" w:after="60"/>
              <w:ind w:left="113"/>
            </w:pPr>
            <w:r>
              <w:rPr>
                <w:b/>
                <w:sz w:val="18"/>
              </w:rPr>
            </w:r>
          </w:p>
          <w:p>
            <w:pPr>
              <w:spacing w:before="20" w:after="20"/>
              <w:ind w:left="170"/>
            </w:pPr>
            <w:r>
              <w:rPr>
                <w:sz w:val="18"/>
              </w:rPr>
              <w:t>▶ DAST (Dynamic Application Security Testing)</w:t>
            </w:r>
          </w:p>
          <w:p>
            <w:pPr>
              <w:spacing w:before="20" w:after="20"/>
              <w:ind w:left="170"/>
            </w:pPr>
            <w:r>
              <w:rPr>
                <w:sz w:val="18"/>
              </w:rPr>
              <w:t>▶ Penetration testing oleh tim internal atau pihak ketiga tersertifikasi</w:t>
            </w:r>
          </w:p>
          <w:p>
            <w:pPr>
              <w:spacing w:before="20" w:after="20"/>
              <w:ind w:left="170"/>
            </w:pPr>
            <w:r>
              <w:rPr>
                <w:sz w:val="18"/>
              </w:rPr>
              <w:t>▶ Vulnerability Assessment seluruh infrastruktur</w:t>
            </w:r>
          </w:p>
          <w:p>
            <w:pPr>
              <w:spacing w:before="20" w:after="20"/>
              <w:ind w:left="170"/>
            </w:pPr>
            <w:r>
              <w:rPr>
                <w:sz w:val="18"/>
              </w:rPr>
              <w:t>▶ User acceptance testing (UAT) dengan skenario keamanan</w:t>
            </w:r>
          </w:p>
          <w:p>
            <w:pPr>
              <w:spacing w:before="20" w:after="20"/>
              <w:ind w:left="170"/>
            </w:pPr>
            <w:r>
              <w:rPr>
                <w:sz w:val="18"/>
              </w:rPr>
              <w:t>▶ Security regression testing</w:t>
            </w:r>
          </w:p>
          <w:p>
            <w:pPr>
              <w:spacing w:before="60" w:after="40"/>
              <w:ind w:left="170"/>
            </w:pPr>
            <w:r>
              <w:rPr>
                <w:b/>
                <w:color w:val="0B3D91"/>
                <w:sz w:val="17"/>
              </w:rPr>
              <w:t xml:space="preserve">Exit Criteria: </w:t>
            </w:r>
            <w:r>
              <w:rPr>
                <w:i/>
                <w:sz w:val="17"/>
              </w:rPr>
              <w:t>Zero Critical/High pentest findings yang belum dimitigasi; DAST clean; Semua temuan Medium ditindaklanjuti atau risk-accepted oleh CISO</w:t>
            </w:r>
          </w:p>
        </w:tc>
      </w:tr>
    </w:tbl>
    <w:p/>
    <w:tbl>
      <w:tblPr>
        <w:tblStyle w:val="TableGrid"/>
        <w:tblW w:type="auto" w:w="0"/>
        <w:tblLook w:firstColumn="1" w:firstRow="1" w:lastColumn="0" w:lastRow="0" w:noHBand="0" w:noVBand="1" w:val="04A0"/>
      </w:tblPr>
      <w:tblGrid>
        <w:gridCol w:w="2339"/>
        <w:gridCol w:w="2339"/>
        <w:gridCol w:w="2339"/>
        <w:gridCol w:w="2339"/>
      </w:tblGrid>
      <w:tr>
        <w:tc>
          <w:tcPr>
            <w:tcW w:type="dxa" w:w="850"/>
            <w:shd w:val="clear" w:color="auto" w:fill="0B3D91"/>
          </w:tcPr>
          <w:p>
            <w:pPr>
              <w:spacing w:before="60" w:after="60"/>
              <w:ind w:left="113"/>
            </w:pPr>
            <w:r>
              <w:rPr>
                <w:b/>
                <w:color w:val="FFFFFF"/>
                <w:sz w:val="18"/>
              </w:rPr>
              <w:t>Phase 5</w:t>
            </w:r>
          </w:p>
        </w:tc>
        <w:tc>
          <w:tcPr>
            <w:tcW w:type="dxa" w:w="1417"/>
            <w:shd w:val="clear" w:color="auto" w:fill="1565C0"/>
          </w:tcPr>
          <w:p>
            <w:pPr>
              <w:spacing w:before="60" w:after="60"/>
              <w:ind w:left="113"/>
            </w:pPr>
            <w:r>
              <w:rPr>
                <w:b/>
                <w:color w:val="FFFFFF"/>
                <w:sz w:val="18"/>
              </w:rPr>
              <w:t>Deployment</w:t>
            </w:r>
          </w:p>
        </w:tc>
        <w:tc>
          <w:tcPr>
            <w:tcW w:type="dxa" w:w="1701"/>
            <w:shd w:val="clear" w:color="auto" w:fill="2E7D32"/>
          </w:tcPr>
          <w:p>
            <w:pPr>
              <w:spacing w:before="60" w:after="60"/>
              <w:ind w:left="113"/>
            </w:pPr>
            <w:r>
              <w:rPr>
                <w:b/>
                <w:color w:val="FFFFFF"/>
                <w:sz w:val="18"/>
              </w:rPr>
              <w:t>Security Gate 5: Go-Live Approval</w:t>
            </w:r>
          </w:p>
        </w:tc>
        <w:tc>
          <w:tcPr>
            <w:tcW w:type="dxa" w:w="5386"/>
            <w:shd w:val="clear" w:color="auto" w:fill="F5F5F5"/>
            <w:shd w:val="clear" w:color="auto" w:fill="F5F5F5"/>
          </w:tcPr>
          <w:p>
            <w:pPr>
              <w:spacing w:before="60" w:after="60"/>
              <w:ind w:left="113"/>
            </w:pPr>
            <w:r>
              <w:rPr>
                <w:b/>
                <w:sz w:val="18"/>
              </w:rPr>
            </w:r>
          </w:p>
          <w:p>
            <w:pPr>
              <w:spacing w:before="20" w:after="20"/>
              <w:ind w:left="170"/>
            </w:pPr>
            <w:r>
              <w:rPr>
                <w:sz w:val="18"/>
              </w:rPr>
              <w:t>▶ Pre-production security checklist final (lihat Dokumen ISMS-SAE-003)</w:t>
            </w:r>
          </w:p>
          <w:p>
            <w:pPr>
              <w:spacing w:before="20" w:after="20"/>
              <w:ind w:left="170"/>
            </w:pPr>
            <w:r>
              <w:rPr>
                <w:sz w:val="18"/>
              </w:rPr>
              <w:t>▶ Hardening verification: OS, database, web server, container</w:t>
            </w:r>
          </w:p>
          <w:p>
            <w:pPr>
              <w:spacing w:before="20" w:after="20"/>
              <w:ind w:left="170"/>
            </w:pPr>
            <w:r>
              <w:rPr>
                <w:sz w:val="18"/>
              </w:rPr>
              <w:t>▶ Konfigurasi monitoring, alerting, dan SIEM rules aktif</w:t>
            </w:r>
          </w:p>
          <w:p>
            <w:pPr>
              <w:spacing w:before="20" w:after="20"/>
              <w:ind w:left="170"/>
            </w:pPr>
            <w:r>
              <w:rPr>
                <w:sz w:val="18"/>
              </w:rPr>
              <w:t>▶ Backup dan recovery test berhasil</w:t>
            </w:r>
          </w:p>
          <w:p>
            <w:pPr>
              <w:spacing w:before="20" w:after="20"/>
              <w:ind w:left="170"/>
            </w:pPr>
            <w:r>
              <w:rPr>
                <w:sz w:val="18"/>
              </w:rPr>
              <w:t>▶ Rollback plan tersedia dan telah diuji</w:t>
            </w:r>
          </w:p>
          <w:p>
            <w:pPr>
              <w:spacing w:before="60" w:after="40"/>
              <w:ind w:left="170"/>
            </w:pPr>
            <w:r>
              <w:rPr>
                <w:b/>
                <w:color w:val="0B3D91"/>
                <w:sz w:val="17"/>
              </w:rPr>
              <w:t xml:space="preserve">Exit Criteria: </w:t>
            </w:r>
            <w:r>
              <w:rPr>
                <w:i/>
                <w:sz w:val="17"/>
              </w:rPr>
              <w:t>Security Checklist Go-Live 100% complete; CISO sign-off; SOC monitoring aktif; Rollback plan tersedia</w:t>
            </w:r>
          </w:p>
        </w:tc>
      </w:tr>
    </w:tbl>
    <w:p/>
    <w:tbl>
      <w:tblPr>
        <w:tblStyle w:val="TableGrid"/>
        <w:tblW w:type="auto" w:w="0"/>
        <w:tblLook w:firstColumn="1" w:firstRow="1" w:lastColumn="0" w:lastRow="0" w:noHBand="0" w:noVBand="1" w:val="04A0"/>
      </w:tblPr>
      <w:tblGrid>
        <w:gridCol w:w="2339"/>
        <w:gridCol w:w="2339"/>
        <w:gridCol w:w="2339"/>
        <w:gridCol w:w="2339"/>
      </w:tblGrid>
      <w:tr>
        <w:tc>
          <w:tcPr>
            <w:tcW w:type="dxa" w:w="850"/>
            <w:shd w:val="clear" w:color="auto" w:fill="0B3D91"/>
          </w:tcPr>
          <w:p>
            <w:pPr>
              <w:spacing w:before="60" w:after="60"/>
              <w:ind w:left="113"/>
            </w:pPr>
            <w:r>
              <w:rPr>
                <w:b/>
                <w:color w:val="FFFFFF"/>
                <w:sz w:val="18"/>
              </w:rPr>
              <w:t>Phase 6</w:t>
            </w:r>
          </w:p>
        </w:tc>
        <w:tc>
          <w:tcPr>
            <w:tcW w:type="dxa" w:w="1417"/>
            <w:shd w:val="clear" w:color="auto" w:fill="1565C0"/>
          </w:tcPr>
          <w:p>
            <w:pPr>
              <w:spacing w:before="60" w:after="60"/>
              <w:ind w:left="113"/>
            </w:pPr>
            <w:r>
              <w:rPr>
                <w:b/>
                <w:color w:val="FFFFFF"/>
                <w:sz w:val="18"/>
              </w:rPr>
              <w:t>Operations &amp; Maintenance</w:t>
            </w:r>
          </w:p>
        </w:tc>
        <w:tc>
          <w:tcPr>
            <w:tcW w:type="dxa" w:w="1701"/>
            <w:shd w:val="clear" w:color="auto" w:fill="2E7D32"/>
          </w:tcPr>
          <w:p>
            <w:pPr>
              <w:spacing w:before="60" w:after="60"/>
              <w:ind w:left="113"/>
            </w:pPr>
            <w:r>
              <w:rPr>
                <w:b/>
                <w:color w:val="FFFFFF"/>
                <w:sz w:val="18"/>
              </w:rPr>
              <w:t>Security Gate 6: Continuous Monitoring</w:t>
            </w:r>
          </w:p>
        </w:tc>
        <w:tc>
          <w:tcPr>
            <w:tcW w:type="dxa" w:w="5386"/>
            <w:shd w:val="clear" w:color="auto" w:fill="F5F5F5"/>
            <w:shd w:val="clear" w:color="auto" w:fill="F5F5F5"/>
          </w:tcPr>
          <w:p>
            <w:pPr>
              <w:spacing w:before="60" w:after="60"/>
              <w:ind w:left="113"/>
            </w:pPr>
            <w:r>
              <w:rPr>
                <w:b/>
                <w:sz w:val="18"/>
              </w:rPr>
            </w:r>
          </w:p>
          <w:p>
            <w:pPr>
              <w:spacing w:before="20" w:after="20"/>
              <w:ind w:left="170"/>
            </w:pPr>
            <w:r>
              <w:rPr>
                <w:sz w:val="18"/>
              </w:rPr>
              <w:t>▶ Patch management: Critical dalam 24 jam, High dalam 72 jam, Medium dalam 30 hari</w:t>
            </w:r>
          </w:p>
          <w:p>
            <w:pPr>
              <w:spacing w:before="20" w:after="20"/>
              <w:ind w:left="170"/>
            </w:pPr>
            <w:r>
              <w:rPr>
                <w:sz w:val="18"/>
              </w:rPr>
              <w:t>▶ Continuous vulnerability scanning (mingguan untuk Tier-1 dan 2)</w:t>
            </w:r>
          </w:p>
          <w:p>
            <w:pPr>
              <w:spacing w:before="20" w:after="20"/>
              <w:ind w:left="170"/>
            </w:pPr>
            <w:r>
              <w:rPr>
                <w:sz w:val="18"/>
              </w:rPr>
              <w:t>▶ Log monitoring dan SIEM alerting aktif 24/7</w:t>
            </w:r>
          </w:p>
          <w:p>
            <w:pPr>
              <w:spacing w:before="20" w:after="20"/>
              <w:ind w:left="170"/>
            </w:pPr>
            <w:r>
              <w:rPr>
                <w:sz w:val="18"/>
              </w:rPr>
              <w:t>▶ Annual penetration test untuk Tier-1 dan 2</w:t>
            </w:r>
          </w:p>
          <w:p>
            <w:pPr>
              <w:spacing w:before="20" w:after="20"/>
              <w:ind w:left="170"/>
            </w:pPr>
            <w:r>
              <w:rPr>
                <w:sz w:val="18"/>
              </w:rPr>
              <w:t>▶ Periodic security architecture review (minimal tahunan)</w:t>
            </w:r>
          </w:p>
          <w:p>
            <w:pPr>
              <w:spacing w:before="60" w:after="40"/>
              <w:ind w:left="170"/>
            </w:pPr>
            <w:r>
              <w:rPr>
                <w:b/>
                <w:color w:val="0B3D91"/>
                <w:sz w:val="17"/>
              </w:rPr>
              <w:t xml:space="preserve">Exit Criteria: </w:t>
            </w:r>
            <w:r>
              <w:rPr>
                <w:i/>
                <w:sz w:val="17"/>
              </w:rPr>
              <w:t>Ongoing — tidak ada exit criteria; Eskalasi ke CISO jika SLA patch terlampaui</w:t>
            </w:r>
          </w:p>
        </w:tc>
      </w:tr>
    </w:tbl>
    <w:p/>
    <w:p>
      <w:pPr>
        <w:spacing w:before="280" w:after="120"/>
        <w:pBdr>
          <w:bottom w:val="single" w:sz="6" w:color="1F497D"/>
        </w:pBdr>
      </w:pPr>
      <w:r>
        <w:rPr>
          <w:b/>
          <w:color w:val="1F497D"/>
          <w:sz w:val="28"/>
        </w:rPr>
        <w:t>7. Persyaratan Teknis Wajib</w:t>
      </w:r>
    </w:p>
    <w:p>
      <w:pPr>
        <w:spacing w:before="200" w:after="120"/>
      </w:pPr>
      <w:r>
        <w:rPr>
          <w:b/>
          <w:color w:val="2E74B5"/>
          <w:sz w:val="24"/>
        </w:rPr>
        <w:t>7.1 Enkripsi dan Kriptografi</w:t>
      </w:r>
    </w:p>
    <w:tbl>
      <w:tblPr>
        <w:tblStyle w:val="TableGrid"/>
        <w:tblW w:type="auto" w:w="0"/>
        <w:tblLook w:firstColumn="1" w:firstRow="1" w:lastColumn="0" w:lastRow="0" w:noHBand="0" w:noVBand="1" w:val="04A0"/>
      </w:tblPr>
      <w:tblGrid>
        <w:gridCol w:w="2339"/>
        <w:gridCol w:w="2339"/>
        <w:gridCol w:w="2339"/>
        <w:gridCol w:w="2339"/>
      </w:tblGrid>
      <w:tr>
        <w:tc>
          <w:tcPr>
            <w:tcW w:type="dxa" w:w="1984"/>
            <w:shd w:val="clear" w:color="auto" w:fill="0B3D91"/>
          </w:tcPr>
          <w:p>
            <w:pPr>
              <w:spacing w:before="60" w:after="60"/>
            </w:pPr>
            <w:r>
              <w:rPr>
                <w:b/>
                <w:color w:val="FFFFFF"/>
                <w:sz w:val="18"/>
              </w:rPr>
              <w:t>Konteks</w:t>
            </w:r>
          </w:p>
        </w:tc>
        <w:tc>
          <w:tcPr>
            <w:tcW w:type="dxa" w:w="2268"/>
            <w:shd w:val="clear" w:color="auto" w:fill="0B3D91"/>
          </w:tcPr>
          <w:p>
            <w:pPr>
              <w:spacing w:before="60" w:after="60"/>
            </w:pPr>
            <w:r>
              <w:rPr>
                <w:b/>
                <w:color w:val="FFFFFF"/>
                <w:sz w:val="18"/>
              </w:rPr>
              <w:t>Algoritma Wajib</w:t>
            </w:r>
          </w:p>
        </w:tc>
        <w:tc>
          <w:tcPr>
            <w:tcW w:type="dxa" w:w="2268"/>
            <w:shd w:val="clear" w:color="auto" w:fill="0B3D91"/>
          </w:tcPr>
          <w:p>
            <w:pPr>
              <w:spacing w:before="60" w:after="60"/>
            </w:pPr>
            <w:r>
              <w:rPr>
                <w:b/>
                <w:color w:val="FFFFFF"/>
                <w:sz w:val="18"/>
              </w:rPr>
              <w:t>Algoritma DILARANG</w:t>
            </w:r>
          </w:p>
        </w:tc>
        <w:tc>
          <w:tcPr>
            <w:tcW w:type="dxa" w:w="2835"/>
            <w:shd w:val="clear" w:color="auto" w:fill="0B3D91"/>
          </w:tcPr>
          <w:p>
            <w:pPr>
              <w:spacing w:before="60" w:after="60"/>
            </w:pPr>
            <w:r>
              <w:rPr>
                <w:b/>
                <w:color w:val="FFFFFF"/>
                <w:sz w:val="18"/>
              </w:rPr>
              <w:t>Keterangan</w:t>
            </w:r>
          </w:p>
        </w:tc>
      </w:tr>
      <w:tr>
        <w:tc>
          <w:tcPr>
            <w:tcW w:type="dxa" w:w="1984"/>
            <w:shd w:val="clear" w:color="auto" w:fill="F0F4FF"/>
          </w:tcPr>
          <w:p>
            <w:pPr>
              <w:spacing w:before="40" w:after="40"/>
            </w:pPr>
            <w:r>
              <w:rPr>
                <w:sz w:val="18"/>
              </w:rPr>
              <w:t>Data at rest (database)</w:t>
            </w:r>
          </w:p>
        </w:tc>
        <w:tc>
          <w:tcPr>
            <w:tcW w:type="dxa" w:w="2268"/>
            <w:shd w:val="clear" w:color="auto" w:fill="F0F4FF"/>
          </w:tcPr>
          <w:p>
            <w:pPr>
              <w:spacing w:before="40" w:after="40"/>
            </w:pPr>
            <w:r>
              <w:rPr>
                <w:sz w:val="18"/>
              </w:rPr>
              <w:t>AES-256-GCM</w:t>
            </w:r>
          </w:p>
        </w:tc>
        <w:tc>
          <w:tcPr>
            <w:tcW w:type="dxa" w:w="2268"/>
            <w:shd w:val="clear" w:color="auto" w:fill="F0F4FF"/>
          </w:tcPr>
          <w:p>
            <w:pPr>
              <w:spacing w:before="40" w:after="40"/>
            </w:pPr>
            <w:r>
              <w:rPr>
                <w:sz w:val="18"/>
              </w:rPr>
              <w:t>DES, 3DES, RC4, MD5</w:t>
            </w:r>
          </w:p>
        </w:tc>
        <w:tc>
          <w:tcPr>
            <w:tcW w:type="dxa" w:w="2835"/>
            <w:shd w:val="clear" w:color="auto" w:fill="F0F4FF"/>
          </w:tcPr>
          <w:p>
            <w:pPr>
              <w:spacing w:before="40" w:after="40"/>
            </w:pPr>
            <w:r>
              <w:rPr>
                <w:sz w:val="18"/>
              </w:rPr>
              <w:t>Wajib untuk Tier-1 dan 2</w:t>
            </w:r>
          </w:p>
        </w:tc>
      </w:tr>
      <w:tr>
        <w:tc>
          <w:tcPr>
            <w:tcW w:type="dxa" w:w="1984"/>
            <w:shd w:val="clear" w:color="auto" w:fill="FFFFFF"/>
          </w:tcPr>
          <w:p>
            <w:pPr>
              <w:spacing w:before="40" w:after="40"/>
            </w:pPr>
            <w:r>
              <w:rPr>
                <w:sz w:val="18"/>
              </w:rPr>
              <w:t>Data in transit (web/API)</w:t>
            </w:r>
          </w:p>
        </w:tc>
        <w:tc>
          <w:tcPr>
            <w:tcW w:type="dxa" w:w="2268"/>
            <w:shd w:val="clear" w:color="auto" w:fill="FFFFFF"/>
          </w:tcPr>
          <w:p>
            <w:pPr>
              <w:spacing w:before="40" w:after="40"/>
            </w:pPr>
            <w:r>
              <w:rPr>
                <w:sz w:val="18"/>
              </w:rPr>
              <w:t>TLS 1.3 (min TLS 1.2)</w:t>
            </w:r>
          </w:p>
        </w:tc>
        <w:tc>
          <w:tcPr>
            <w:tcW w:type="dxa" w:w="2268"/>
            <w:shd w:val="clear" w:color="auto" w:fill="FFFFFF"/>
          </w:tcPr>
          <w:p>
            <w:pPr>
              <w:spacing w:before="40" w:after="40"/>
            </w:pPr>
            <w:r>
              <w:rPr>
                <w:sz w:val="18"/>
              </w:rPr>
              <w:t>SSL, TLS 1.0, TLS 1.1</w:t>
            </w:r>
          </w:p>
        </w:tc>
        <w:tc>
          <w:tcPr>
            <w:tcW w:type="dxa" w:w="2835"/>
            <w:shd w:val="clear" w:color="auto" w:fill="FFFFFF"/>
          </w:tcPr>
          <w:p>
            <w:pPr>
              <w:spacing w:before="40" w:after="40"/>
            </w:pPr>
            <w:r>
              <w:rPr>
                <w:sz w:val="18"/>
              </w:rPr>
              <w:t>HSTS mandatory</w:t>
            </w:r>
          </w:p>
        </w:tc>
      </w:tr>
      <w:tr>
        <w:tc>
          <w:tcPr>
            <w:tcW w:type="dxa" w:w="1984"/>
            <w:shd w:val="clear" w:color="auto" w:fill="F0F4FF"/>
          </w:tcPr>
          <w:p>
            <w:pPr>
              <w:spacing w:before="40" w:after="40"/>
            </w:pPr>
            <w:r>
              <w:rPr>
                <w:sz w:val="18"/>
              </w:rPr>
              <w:t>Password hashing</w:t>
            </w:r>
          </w:p>
        </w:tc>
        <w:tc>
          <w:tcPr>
            <w:tcW w:type="dxa" w:w="2268"/>
            <w:shd w:val="clear" w:color="auto" w:fill="F0F4FF"/>
          </w:tcPr>
          <w:p>
            <w:pPr>
              <w:spacing w:before="40" w:after="40"/>
            </w:pPr>
            <w:r>
              <w:rPr>
                <w:sz w:val="18"/>
              </w:rPr>
              <w:t>bcrypt (cost ≥12), Argon2id</w:t>
            </w:r>
          </w:p>
        </w:tc>
        <w:tc>
          <w:tcPr>
            <w:tcW w:type="dxa" w:w="2268"/>
            <w:shd w:val="clear" w:color="auto" w:fill="F0F4FF"/>
          </w:tcPr>
          <w:p>
            <w:pPr>
              <w:spacing w:before="40" w:after="40"/>
            </w:pPr>
            <w:r>
              <w:rPr>
                <w:sz w:val="18"/>
              </w:rPr>
              <w:t>MD5, SHA-1, SHA-256 plain</w:t>
            </w:r>
          </w:p>
        </w:tc>
        <w:tc>
          <w:tcPr>
            <w:tcW w:type="dxa" w:w="2835"/>
            <w:shd w:val="clear" w:color="auto" w:fill="F0F4FF"/>
          </w:tcPr>
          <w:p>
            <w:pPr>
              <w:spacing w:before="40" w:after="40"/>
            </w:pPr>
            <w:r>
              <w:rPr>
                <w:sz w:val="18"/>
              </w:rPr>
              <w:t>Salt wajib per-user</w:t>
            </w:r>
          </w:p>
        </w:tc>
      </w:tr>
      <w:tr>
        <w:tc>
          <w:tcPr>
            <w:tcW w:type="dxa" w:w="1984"/>
            <w:shd w:val="clear" w:color="auto" w:fill="FFFFFF"/>
          </w:tcPr>
          <w:p>
            <w:pPr>
              <w:spacing w:before="40" w:after="40"/>
            </w:pPr>
            <w:r>
              <w:rPr>
                <w:sz w:val="18"/>
              </w:rPr>
              <w:t>Digital signature</w:t>
            </w:r>
          </w:p>
        </w:tc>
        <w:tc>
          <w:tcPr>
            <w:tcW w:type="dxa" w:w="2268"/>
            <w:shd w:val="clear" w:color="auto" w:fill="FFFFFF"/>
          </w:tcPr>
          <w:p>
            <w:pPr>
              <w:spacing w:before="40" w:after="40"/>
            </w:pPr>
            <w:r>
              <w:rPr>
                <w:sz w:val="18"/>
              </w:rPr>
              <w:t>RSA-4096 atau ECDSA P-384</w:t>
            </w:r>
          </w:p>
        </w:tc>
        <w:tc>
          <w:tcPr>
            <w:tcW w:type="dxa" w:w="2268"/>
            <w:shd w:val="clear" w:color="auto" w:fill="FFFFFF"/>
          </w:tcPr>
          <w:p>
            <w:pPr>
              <w:spacing w:before="40" w:after="40"/>
            </w:pPr>
            <w:r>
              <w:rPr>
                <w:sz w:val="18"/>
              </w:rPr>
              <w:t>RSA &lt; 2048, DSA</w:t>
            </w:r>
          </w:p>
        </w:tc>
        <w:tc>
          <w:tcPr>
            <w:tcW w:type="dxa" w:w="2835"/>
            <w:shd w:val="clear" w:color="auto" w:fill="FFFFFF"/>
          </w:tcPr>
          <w:p>
            <w:pPr>
              <w:spacing w:before="40" w:after="40"/>
            </w:pPr>
            <w:r>
              <w:rPr>
                <w:sz w:val="18"/>
              </w:rPr>
              <w:t>Untuk dokumen polis</w:t>
            </w:r>
          </w:p>
        </w:tc>
      </w:tr>
      <w:tr>
        <w:tc>
          <w:tcPr>
            <w:tcW w:type="dxa" w:w="1984"/>
            <w:shd w:val="clear" w:color="auto" w:fill="F0F4FF"/>
          </w:tcPr>
          <w:p>
            <w:pPr>
              <w:spacing w:before="40" w:after="40"/>
            </w:pPr>
            <w:r>
              <w:rPr>
                <w:sz w:val="18"/>
              </w:rPr>
              <w:t>Key management</w:t>
            </w:r>
          </w:p>
        </w:tc>
        <w:tc>
          <w:tcPr>
            <w:tcW w:type="dxa" w:w="2268"/>
            <w:shd w:val="clear" w:color="auto" w:fill="F0F4FF"/>
          </w:tcPr>
          <w:p>
            <w:pPr>
              <w:spacing w:before="40" w:after="40"/>
            </w:pPr>
            <w:r>
              <w:rPr>
                <w:sz w:val="18"/>
              </w:rPr>
              <w:t>HSM atau Cloud KMS</w:t>
            </w:r>
          </w:p>
        </w:tc>
        <w:tc>
          <w:tcPr>
            <w:tcW w:type="dxa" w:w="2268"/>
            <w:shd w:val="clear" w:color="auto" w:fill="F0F4FF"/>
          </w:tcPr>
          <w:p>
            <w:pPr>
              <w:spacing w:before="40" w:after="40"/>
            </w:pPr>
            <w:r>
              <w:rPr>
                <w:sz w:val="18"/>
              </w:rPr>
              <w:t>Hardcoded keys, static keys</w:t>
            </w:r>
          </w:p>
        </w:tc>
        <w:tc>
          <w:tcPr>
            <w:tcW w:type="dxa" w:w="2835"/>
            <w:shd w:val="clear" w:color="auto" w:fill="F0F4FF"/>
          </w:tcPr>
          <w:p>
            <w:pPr>
              <w:spacing w:before="40" w:after="40"/>
            </w:pPr>
            <w:r>
              <w:rPr>
                <w:sz w:val="18"/>
              </w:rPr>
              <w:t>Rotasi kunci tahunan</w:t>
            </w:r>
          </w:p>
        </w:tc>
      </w:tr>
      <w:tr>
        <w:tc>
          <w:tcPr>
            <w:tcW w:type="dxa" w:w="1984"/>
            <w:shd w:val="clear" w:color="auto" w:fill="FFFFFF"/>
          </w:tcPr>
          <w:p>
            <w:pPr>
              <w:spacing w:before="40" w:after="40"/>
            </w:pPr>
            <w:r>
              <w:rPr>
                <w:sz w:val="18"/>
              </w:rPr>
              <w:t>Random number generation</w:t>
            </w:r>
          </w:p>
        </w:tc>
        <w:tc>
          <w:tcPr>
            <w:tcW w:type="dxa" w:w="2268"/>
            <w:shd w:val="clear" w:color="auto" w:fill="FFFFFF"/>
          </w:tcPr>
          <w:p>
            <w:pPr>
              <w:spacing w:before="40" w:after="40"/>
            </w:pPr>
            <w:r>
              <w:rPr>
                <w:sz w:val="18"/>
              </w:rPr>
              <w:t>CSPRNG (OS-level)</w:t>
            </w:r>
          </w:p>
        </w:tc>
        <w:tc>
          <w:tcPr>
            <w:tcW w:type="dxa" w:w="2268"/>
            <w:shd w:val="clear" w:color="auto" w:fill="FFFFFF"/>
          </w:tcPr>
          <w:p>
            <w:pPr>
              <w:spacing w:before="40" w:after="40"/>
            </w:pPr>
            <w:r>
              <w:rPr>
                <w:sz w:val="18"/>
              </w:rPr>
              <w:t>Math.random(), rand()</w:t>
            </w:r>
          </w:p>
        </w:tc>
        <w:tc>
          <w:tcPr>
            <w:tcW w:type="dxa" w:w="2835"/>
            <w:shd w:val="clear" w:color="auto" w:fill="FFFFFF"/>
          </w:tcPr>
          <w:p>
            <w:pPr>
              <w:spacing w:before="40" w:after="40"/>
            </w:pPr>
            <w:r>
              <w:rPr>
                <w:sz w:val="18"/>
              </w:rPr>
              <w:t>Untuk token dan nonce</w:t>
            </w:r>
          </w:p>
        </w:tc>
      </w:tr>
    </w:tbl>
    <w:p/>
    <w:p>
      <w:pPr>
        <w:spacing w:before="200" w:after="120"/>
      </w:pPr>
      <w:r>
        <w:rPr>
          <w:b/>
          <w:color w:val="2E74B5"/>
          <w:sz w:val="24"/>
        </w:rPr>
        <w:t>7.2 Autentikasi dan Otorisasi</w:t>
      </w:r>
    </w:p>
    <w:tbl>
      <w:tblPr>
        <w:tblStyle w:val="TableGrid"/>
        <w:tblW w:type="auto" w:w="0"/>
        <w:tblLook w:firstColumn="1" w:firstRow="1" w:lastColumn="0" w:lastRow="0" w:noHBand="0" w:noVBand="1" w:val="04A0"/>
      </w:tblPr>
      <w:tblGrid>
        <w:gridCol w:w="4677"/>
        <w:gridCol w:w="4677"/>
      </w:tblGrid>
      <w:tr>
        <w:tc>
          <w:tcPr>
            <w:tcW w:type="dxa" w:w="2551"/>
            <w:shd w:val="clear" w:color="auto" w:fill="0B3D91"/>
          </w:tcPr>
          <w:p>
            <w:pPr>
              <w:spacing w:before="60" w:after="60"/>
            </w:pPr>
            <w:r>
              <w:rPr>
                <w:b/>
                <w:color w:val="FFFFFF"/>
                <w:sz w:val="18"/>
              </w:rPr>
              <w:t>Komponen</w:t>
            </w:r>
          </w:p>
        </w:tc>
        <w:tc>
          <w:tcPr>
            <w:tcW w:type="dxa" w:w="6803"/>
            <w:shd w:val="clear" w:color="auto" w:fill="0B3D91"/>
          </w:tcPr>
          <w:p>
            <w:pPr>
              <w:spacing w:before="60" w:after="60"/>
            </w:pPr>
            <w:r>
              <w:rPr>
                <w:b/>
                <w:color w:val="FFFFFF"/>
                <w:sz w:val="18"/>
              </w:rPr>
              <w:t>Persyaratan</w:t>
            </w:r>
          </w:p>
        </w:tc>
      </w:tr>
      <w:tr>
        <w:tc>
          <w:tcPr>
            <w:tcW w:type="dxa" w:w="2551"/>
            <w:shd w:val="clear" w:color="auto" w:fill="F0F4FF"/>
          </w:tcPr>
          <w:p>
            <w:pPr>
              <w:spacing w:before="40" w:after="40"/>
            </w:pPr>
            <w:r>
              <w:rPr>
                <w:sz w:val="18"/>
              </w:rPr>
              <w:t>Multi-Factor Authentication</w:t>
            </w:r>
          </w:p>
        </w:tc>
        <w:tc>
          <w:tcPr>
            <w:tcW w:type="dxa" w:w="6803"/>
            <w:shd w:val="clear" w:color="auto" w:fill="F0F4FF"/>
          </w:tcPr>
          <w:p>
            <w:pPr>
              <w:spacing w:before="40" w:after="40"/>
            </w:pPr>
            <w:r>
              <w:rPr>
                <w:sz w:val="18"/>
              </w:rPr>
              <w:t>Wajib untuk: Admin system, remote access, akses data nasabah, aplikasi Tier-1</w:t>
            </w:r>
          </w:p>
        </w:tc>
      </w:tr>
      <w:tr>
        <w:tc>
          <w:tcPr>
            <w:tcW w:type="dxa" w:w="2551"/>
            <w:shd w:val="clear" w:color="auto" w:fill="FFFFFF"/>
          </w:tcPr>
          <w:p>
            <w:pPr>
              <w:spacing w:before="40" w:after="40"/>
            </w:pPr>
            <w:r>
              <w:rPr>
                <w:sz w:val="18"/>
              </w:rPr>
              <w:t>Password Policy</w:t>
            </w:r>
          </w:p>
        </w:tc>
        <w:tc>
          <w:tcPr>
            <w:tcW w:type="dxa" w:w="6803"/>
            <w:shd w:val="clear" w:color="auto" w:fill="FFFFFF"/>
          </w:tcPr>
          <w:p>
            <w:pPr>
              <w:spacing w:before="40" w:after="40"/>
            </w:pPr>
            <w:r>
              <w:rPr>
                <w:sz w:val="18"/>
              </w:rPr>
              <w:t>Min. 12 karakter; kombinasi huruf besar, kecil, angka, simbol; rotasi 90 hari; history 12x</w:t>
            </w:r>
          </w:p>
        </w:tc>
      </w:tr>
      <w:tr>
        <w:tc>
          <w:tcPr>
            <w:tcW w:type="dxa" w:w="2551"/>
            <w:shd w:val="clear" w:color="auto" w:fill="F0F4FF"/>
          </w:tcPr>
          <w:p>
            <w:pPr>
              <w:spacing w:before="40" w:after="40"/>
            </w:pPr>
            <w:r>
              <w:rPr>
                <w:sz w:val="18"/>
              </w:rPr>
              <w:t>Session Management</w:t>
            </w:r>
          </w:p>
        </w:tc>
        <w:tc>
          <w:tcPr>
            <w:tcW w:type="dxa" w:w="6803"/>
            <w:shd w:val="clear" w:color="auto" w:fill="F0F4FF"/>
          </w:tcPr>
          <w:p>
            <w:pPr>
              <w:spacing w:before="40" w:after="40"/>
            </w:pPr>
            <w:r>
              <w:rPr>
                <w:sz w:val="18"/>
              </w:rPr>
              <w:t>Timeout 15 menit (idle) untuk Tier-1; 30 menit untuk Tier-2; secure cookie (HttpOnly, SameSite)</w:t>
            </w:r>
          </w:p>
        </w:tc>
      </w:tr>
      <w:tr>
        <w:tc>
          <w:tcPr>
            <w:tcW w:type="dxa" w:w="2551"/>
            <w:shd w:val="clear" w:color="auto" w:fill="FFFFFF"/>
          </w:tcPr>
          <w:p>
            <w:pPr>
              <w:spacing w:before="40" w:after="40"/>
            </w:pPr>
            <w:r>
              <w:rPr>
                <w:sz w:val="18"/>
              </w:rPr>
              <w:t>API Authentication</w:t>
            </w:r>
          </w:p>
        </w:tc>
        <w:tc>
          <w:tcPr>
            <w:tcW w:type="dxa" w:w="6803"/>
            <w:shd w:val="clear" w:color="auto" w:fill="FFFFFF"/>
          </w:tcPr>
          <w:p>
            <w:pPr>
              <w:spacing w:before="40" w:after="40"/>
            </w:pPr>
            <w:r>
              <w:rPr>
                <w:sz w:val="18"/>
              </w:rPr>
              <w:t>OAuth 2.0 + JWT (RS256); token expiry maksimal 1 jam; refresh token maksimal 24 jam</w:t>
            </w:r>
          </w:p>
        </w:tc>
      </w:tr>
      <w:tr>
        <w:tc>
          <w:tcPr>
            <w:tcW w:type="dxa" w:w="2551"/>
            <w:shd w:val="clear" w:color="auto" w:fill="F0F4FF"/>
          </w:tcPr>
          <w:p>
            <w:pPr>
              <w:spacing w:before="40" w:after="40"/>
            </w:pPr>
            <w:r>
              <w:rPr>
                <w:sz w:val="18"/>
              </w:rPr>
              <w:t>Privileged Access</w:t>
            </w:r>
          </w:p>
        </w:tc>
        <w:tc>
          <w:tcPr>
            <w:tcW w:type="dxa" w:w="6803"/>
            <w:shd w:val="clear" w:color="auto" w:fill="F0F4FF"/>
          </w:tcPr>
          <w:p>
            <w:pPr>
              <w:spacing w:before="40" w:after="40"/>
            </w:pPr>
            <w:r>
              <w:rPr>
                <w:sz w:val="18"/>
              </w:rPr>
              <w:t>PAM solution wajib; just-in-time access; session recording untuk admin; dual approval</w:t>
            </w:r>
          </w:p>
        </w:tc>
      </w:tr>
      <w:tr>
        <w:tc>
          <w:tcPr>
            <w:tcW w:type="dxa" w:w="2551"/>
            <w:shd w:val="clear" w:color="auto" w:fill="FFFFFF"/>
          </w:tcPr>
          <w:p>
            <w:pPr>
              <w:spacing w:before="40" w:after="40"/>
            </w:pPr>
            <w:r>
              <w:rPr>
                <w:sz w:val="18"/>
              </w:rPr>
              <w:t>Account Lockout</w:t>
            </w:r>
          </w:p>
        </w:tc>
        <w:tc>
          <w:tcPr>
            <w:tcW w:type="dxa" w:w="6803"/>
            <w:shd w:val="clear" w:color="auto" w:fill="FFFFFF"/>
          </w:tcPr>
          <w:p>
            <w:pPr>
              <w:spacing w:before="40" w:after="40"/>
            </w:pPr>
            <w:r>
              <w:rPr>
                <w:sz w:val="18"/>
              </w:rPr>
              <w:t>Lock setelah 5 kali gagal login; unlock manual oleh admin; CAPTCHA setelah 3 kali gagal</w:t>
            </w:r>
          </w:p>
        </w:tc>
      </w:tr>
      <w:tr>
        <w:tc>
          <w:tcPr>
            <w:tcW w:type="dxa" w:w="2551"/>
            <w:shd w:val="clear" w:color="auto" w:fill="F0F4FF"/>
          </w:tcPr>
          <w:p>
            <w:pPr>
              <w:spacing w:before="40" w:after="40"/>
            </w:pPr>
            <w:r>
              <w:rPr>
                <w:sz w:val="18"/>
              </w:rPr>
              <w:t>Service Account</w:t>
            </w:r>
          </w:p>
        </w:tc>
        <w:tc>
          <w:tcPr>
            <w:tcW w:type="dxa" w:w="6803"/>
            <w:shd w:val="clear" w:color="auto" w:fill="F0F4FF"/>
          </w:tcPr>
          <w:p>
            <w:pPr>
              <w:spacing w:before="40" w:after="40"/>
            </w:pPr>
            <w:r>
              <w:rPr>
                <w:sz w:val="18"/>
              </w:rPr>
              <w:t>Tidak boleh login interaktif; rotasi credential otomatis (minimal 90 hari); least privilege</w:t>
            </w:r>
          </w:p>
        </w:tc>
      </w:tr>
    </w:tbl>
    <w:p/>
    <w:p>
      <w:pPr>
        <w:spacing w:before="200" w:after="120"/>
      </w:pPr>
      <w:r>
        <w:rPr>
          <w:b/>
          <w:color w:val="2E74B5"/>
          <w:sz w:val="24"/>
        </w:rPr>
        <w:t>7.3 Keamanan Aplikasi Web dan API</w:t>
      </w:r>
    </w:p>
    <w:tbl>
      <w:tblPr>
        <w:tblStyle w:val="TableGrid"/>
        <w:tblW w:type="auto" w:w="0"/>
        <w:tblLook w:firstColumn="1" w:firstRow="1" w:lastColumn="0" w:lastRow="0" w:noHBand="0" w:noVBand="1" w:val="04A0"/>
      </w:tblPr>
      <w:tblGrid>
        <w:gridCol w:w="9355"/>
      </w:tblGrid>
      <w:tr>
        <w:tc>
          <w:tcPr>
            <w:tcW w:type="dxa" w:w="9355"/>
            <w:shd w:val="clear" w:color="auto" w:fill="E8F5E9"/>
          </w:tcPr>
          <w:p>
            <w:pPr>
              <w:spacing w:before="80" w:after="40"/>
              <w:ind w:left="170"/>
            </w:pPr>
            <w:r>
              <w:rPr>
                <w:b/>
                <w:color w:val="1B5E20"/>
                <w:sz w:val="20"/>
              </w:rPr>
              <w:t>✅  Wajib Diimplementasikan (OWASP Top 10 + ASVS Level 2)</w:t>
            </w:r>
          </w:p>
          <w:p>
            <w:pPr>
              <w:spacing w:before="20" w:after="20"/>
              <w:ind w:left="283"/>
            </w:pPr>
            <w:r>
              <w:rPr>
                <w:sz w:val="18"/>
              </w:rPr>
              <w:t>✓  Input Validation: Whitelist validation; parameterized queries (anti-SQL injection); output encoding (anti-XSS)</w:t>
            </w:r>
          </w:p>
          <w:p>
            <w:pPr>
              <w:spacing w:before="20" w:after="20"/>
              <w:ind w:left="283"/>
            </w:pPr>
            <w:r>
              <w:rPr>
                <w:sz w:val="18"/>
              </w:rPr>
              <w:t>✓  CSRF Protection: CSRF token pada semua form POST/PUT/DELETE; SameSite=Strict untuk cookie</w:t>
            </w:r>
          </w:p>
          <w:p>
            <w:pPr>
              <w:spacing w:before="20" w:after="20"/>
              <w:ind w:left="283"/>
            </w:pPr>
            <w:r>
              <w:rPr>
                <w:sz w:val="18"/>
              </w:rPr>
              <w:t>✓  Security Headers: CSP, X-Frame-Options: DENY, X-Content-Type-Options: nosniff, HSTS min 1 tahun</w:t>
            </w:r>
          </w:p>
          <w:p>
            <w:pPr>
              <w:spacing w:before="20" w:after="20"/>
              <w:ind w:left="283"/>
            </w:pPr>
            <w:r>
              <w:rPr>
                <w:sz w:val="18"/>
              </w:rPr>
              <w:t>✓  API Rate Limiting: Batas request per IP dan per user; exponential backoff; DDoS protection</w:t>
            </w:r>
          </w:p>
          <w:p>
            <w:pPr>
              <w:spacing w:before="20" w:after="20"/>
              <w:ind w:left="283"/>
            </w:pPr>
            <w:r>
              <w:rPr>
                <w:sz w:val="18"/>
              </w:rPr>
              <w:t>✓  Sensitive Data Exposure: Tidak ada PII/data keuangan di URL/query string; masking di log</w:t>
            </w:r>
          </w:p>
          <w:p>
            <w:pPr>
              <w:spacing w:before="20" w:after="20"/>
              <w:ind w:left="283"/>
            </w:pPr>
            <w:r>
              <w:rPr>
                <w:sz w:val="18"/>
              </w:rPr>
              <w:t>✓  File Upload Security: Whitelist MIME type; antivirus scan; simpan di luar web root; rename file</w:t>
            </w:r>
          </w:p>
          <w:p>
            <w:pPr>
              <w:spacing w:before="20" w:after="20"/>
              <w:ind w:left="283"/>
            </w:pPr>
            <w:r>
              <w:rPr>
                <w:sz w:val="18"/>
              </w:rPr>
              <w:t>✓  Error Handling: Generic error message ke user; detail error hanya di server log</w:t>
            </w:r>
          </w:p>
          <w:p/>
        </w:tc>
      </w:tr>
    </w:tbl>
    <w:p/>
    <w:tbl>
      <w:tblPr>
        <w:tblStyle w:val="TableGrid"/>
        <w:tblW w:type="auto" w:w="0"/>
        <w:tblLook w:firstColumn="1" w:firstRow="1" w:lastColumn="0" w:lastRow="0" w:noHBand="0" w:noVBand="1" w:val="04A0"/>
      </w:tblPr>
      <w:tblGrid>
        <w:gridCol w:w="9355"/>
      </w:tblGrid>
      <w:tr>
        <w:tc>
          <w:tcPr>
            <w:tcW w:type="dxa" w:w="9355"/>
            <w:shd w:val="clear" w:color="auto" w:fill="FFEBEE"/>
          </w:tcPr>
          <w:p>
            <w:pPr>
              <w:spacing w:before="80" w:after="40"/>
              <w:ind w:left="170"/>
            </w:pPr>
            <w:r>
              <w:rPr>
                <w:b/>
                <w:color w:val="B71C1C"/>
                <w:sz w:val="20"/>
              </w:rPr>
              <w:t>❌  Dilarang Keras (Hard Requirements)</w:t>
            </w:r>
          </w:p>
          <w:p>
            <w:pPr>
              <w:spacing w:before="20" w:after="20"/>
              <w:ind w:left="283"/>
            </w:pPr>
            <w:r>
              <w:rPr>
                <w:sz w:val="18"/>
              </w:rPr>
              <w:t>✓  Hardcoded credentials, API key, atau secret di source code atau konfigurasi</w:t>
            </w:r>
          </w:p>
          <w:p>
            <w:pPr>
              <w:spacing w:before="20" w:after="20"/>
              <w:ind w:left="283"/>
            </w:pPr>
            <w:r>
              <w:rPr>
                <w:sz w:val="18"/>
              </w:rPr>
              <w:t>✓  Eval() atau dynamic code execution dari input user</w:t>
            </w:r>
          </w:p>
          <w:p>
            <w:pPr>
              <w:spacing w:before="20" w:after="20"/>
              <w:ind w:left="283"/>
            </w:pPr>
            <w:r>
              <w:rPr>
                <w:sz w:val="18"/>
              </w:rPr>
              <w:t>✓  Penyimpanan password dalam plaintext atau hash lemah (MD5/SHA-1)</w:t>
            </w:r>
          </w:p>
          <w:p>
            <w:pPr>
              <w:spacing w:before="20" w:after="20"/>
              <w:ind w:left="283"/>
            </w:pPr>
            <w:r>
              <w:rPr>
                <w:sz w:val="18"/>
              </w:rPr>
              <w:t>✓  Direct object reference tanpa otorisasi (IDOR) — harus gunakan UUID acak</w:t>
            </w:r>
          </w:p>
          <w:p>
            <w:pPr>
              <w:spacing w:before="20" w:after="20"/>
              <w:ind w:left="283"/>
            </w:pPr>
            <w:r>
              <w:rPr>
                <w:sz w:val="18"/>
              </w:rPr>
              <w:t>✓  Penggunaan library/dependency dengan CVE Critical atau High yang diketahui</w:t>
            </w:r>
          </w:p>
          <w:p>
            <w:pPr>
              <w:spacing w:before="20" w:after="20"/>
              <w:ind w:left="283"/>
            </w:pPr>
            <w:r>
              <w:rPr>
                <w:sz w:val="18"/>
              </w:rPr>
              <w:t>✓  HTTP (tanpa TLS) untuk endpoint yang memproses data sensitif</w:t>
            </w:r>
          </w:p>
          <w:p>
            <w:pPr>
              <w:spacing w:before="20" w:after="20"/>
              <w:ind w:left="283"/>
            </w:pPr>
            <w:r>
              <w:rPr>
                <w:sz w:val="18"/>
              </w:rPr>
              <w:t>✓  Debug mode atau verbose error message di production environment</w:t>
            </w:r>
          </w:p>
          <w:p/>
        </w:tc>
      </w:tr>
    </w:tbl>
    <w:p/>
    <w:p>
      <w:pPr>
        <w:spacing w:before="280" w:after="120"/>
        <w:pBdr>
          <w:bottom w:val="single" w:sz="6" w:color="1F497D"/>
        </w:pBdr>
      </w:pPr>
      <w:r>
        <w:rPr>
          <w:b/>
          <w:color w:val="1F497D"/>
          <w:sz w:val="28"/>
        </w:rPr>
        <w:t>8. Peran dan Tanggung Jawab</w:t>
      </w:r>
    </w:p>
    <w:tbl>
      <w:tblPr>
        <w:tblStyle w:val="TableGrid"/>
        <w:tblW w:type="auto" w:w="0"/>
        <w:tblLook w:firstColumn="1" w:firstRow="1" w:lastColumn="0" w:lastRow="0" w:noHBand="0" w:noVBand="1" w:val="04A0"/>
      </w:tblPr>
      <w:tblGrid>
        <w:gridCol w:w="3118"/>
        <w:gridCol w:w="3118"/>
        <w:gridCol w:w="3118"/>
      </w:tblGrid>
      <w:tr>
        <w:tc>
          <w:tcPr>
            <w:tcW w:type="dxa" w:w="1984"/>
            <w:shd w:val="clear" w:color="auto" w:fill="0B3D91"/>
          </w:tcPr>
          <w:p>
            <w:pPr>
              <w:spacing w:before="60" w:after="60"/>
            </w:pPr>
            <w:r>
              <w:rPr>
                <w:b/>
                <w:color w:val="FFFFFF"/>
                <w:sz w:val="18"/>
              </w:rPr>
              <w:t>Peran</w:t>
            </w:r>
          </w:p>
        </w:tc>
        <w:tc>
          <w:tcPr>
            <w:tcW w:type="dxa" w:w="5386"/>
            <w:shd w:val="clear" w:color="auto" w:fill="0B3D91"/>
          </w:tcPr>
          <w:p>
            <w:pPr>
              <w:spacing w:before="60" w:after="60"/>
            </w:pPr>
            <w:r>
              <w:rPr>
                <w:b/>
                <w:color w:val="FFFFFF"/>
                <w:sz w:val="18"/>
              </w:rPr>
              <w:t>Tanggung Jawab Utama</w:t>
            </w:r>
          </w:p>
        </w:tc>
        <w:tc>
          <w:tcPr>
            <w:tcW w:type="dxa" w:w="1984"/>
            <w:shd w:val="clear" w:color="auto" w:fill="0B3D91"/>
          </w:tcPr>
          <w:p>
            <w:pPr>
              <w:spacing w:before="60" w:after="60"/>
            </w:pPr>
            <w:r>
              <w:rPr>
                <w:b/>
                <w:color w:val="FFFFFF"/>
                <w:sz w:val="18"/>
              </w:rPr>
              <w:t>Otoritas</w:t>
            </w:r>
          </w:p>
        </w:tc>
      </w:tr>
      <w:tr>
        <w:tc>
          <w:tcPr>
            <w:tcW w:type="dxa" w:w="1984"/>
            <w:shd w:val="clear" w:color="auto" w:fill="F0F4FF"/>
          </w:tcPr>
          <w:p>
            <w:pPr>
              <w:spacing w:before="40" w:after="40"/>
            </w:pPr>
            <w:r>
              <w:rPr>
                <w:sz w:val="18"/>
              </w:rPr>
              <w:t>CISO</w:t>
            </w:r>
          </w:p>
        </w:tc>
        <w:tc>
          <w:tcPr>
            <w:tcW w:type="dxa" w:w="5386"/>
            <w:shd w:val="clear" w:color="auto" w:fill="F0F4FF"/>
          </w:tcPr>
          <w:p>
            <w:pPr>
              <w:spacing w:before="40" w:after="40"/>
            </w:pPr>
            <w:r>
              <w:rPr>
                <w:sz w:val="18"/>
              </w:rPr>
              <w:t>Menetapkan dan memperbarui standar ini; Mengelola exception process; Final approval untuk Go-Live Tier-1 dan 2; Eskalasi risiko ke Direksi</w:t>
            </w:r>
          </w:p>
        </w:tc>
        <w:tc>
          <w:tcPr>
            <w:tcW w:type="dxa" w:w="1984"/>
            <w:shd w:val="clear" w:color="auto" w:fill="F0F4FF"/>
          </w:tcPr>
          <w:p>
            <w:pPr>
              <w:spacing w:before="40" w:after="40"/>
            </w:pPr>
            <w:r>
              <w:rPr>
                <w:sz w:val="18"/>
              </w:rPr>
              <w:t>Veto power untuk Go-Live; Menetapkan risk acceptance</w:t>
            </w:r>
          </w:p>
        </w:tc>
      </w:tr>
      <w:tr>
        <w:tc>
          <w:tcPr>
            <w:tcW w:type="dxa" w:w="1984"/>
            <w:shd w:val="clear" w:color="auto" w:fill="FFFFFF"/>
          </w:tcPr>
          <w:p>
            <w:pPr>
              <w:spacing w:before="40" w:after="40"/>
            </w:pPr>
            <w:r>
              <w:rPr>
                <w:sz w:val="18"/>
              </w:rPr>
              <w:t>Security Architect</w:t>
            </w:r>
          </w:p>
        </w:tc>
        <w:tc>
          <w:tcPr>
            <w:tcW w:type="dxa" w:w="5386"/>
            <w:shd w:val="clear" w:color="auto" w:fill="FFFFFF"/>
          </w:tcPr>
          <w:p>
            <w:pPr>
              <w:spacing w:before="40" w:after="40"/>
            </w:pPr>
            <w:r>
              <w:rPr>
                <w:sz w:val="18"/>
              </w:rPr>
              <w:t>Melakukan Security Design Review dan Threat Modeling; Memastikan prinsip-prinsip ini diterapkan; Mendukung tim development</w:t>
            </w:r>
          </w:p>
        </w:tc>
        <w:tc>
          <w:tcPr>
            <w:tcW w:type="dxa" w:w="1984"/>
            <w:shd w:val="clear" w:color="auto" w:fill="FFFFFF"/>
          </w:tcPr>
          <w:p>
            <w:pPr>
              <w:spacing w:before="40" w:after="40"/>
            </w:pPr>
            <w:r>
              <w:rPr>
                <w:sz w:val="18"/>
              </w:rPr>
              <w:t>Approval Security Gate 1, 2, 3</w:t>
            </w:r>
          </w:p>
        </w:tc>
      </w:tr>
      <w:tr>
        <w:tc>
          <w:tcPr>
            <w:tcW w:type="dxa" w:w="1984"/>
            <w:shd w:val="clear" w:color="auto" w:fill="F0F4FF"/>
          </w:tcPr>
          <w:p>
            <w:pPr>
              <w:spacing w:before="40" w:after="40"/>
            </w:pPr>
            <w:r>
              <w:rPr>
                <w:sz w:val="18"/>
              </w:rPr>
              <w:t>Development Manager</w:t>
            </w:r>
          </w:p>
        </w:tc>
        <w:tc>
          <w:tcPr>
            <w:tcW w:type="dxa" w:w="5386"/>
            <w:shd w:val="clear" w:color="auto" w:fill="F0F4FF"/>
          </w:tcPr>
          <w:p>
            <w:pPr>
              <w:spacing w:before="40" w:after="40"/>
            </w:pPr>
            <w:r>
              <w:rPr>
                <w:sz w:val="18"/>
              </w:rPr>
              <w:t>Memastikan tim developer mengikuti Secure Coding Standard; Mengintegrasikan security tools ke CI/CD pipeline; Eskalasi temuan</w:t>
            </w:r>
          </w:p>
        </w:tc>
        <w:tc>
          <w:tcPr>
            <w:tcW w:type="dxa" w:w="1984"/>
            <w:shd w:val="clear" w:color="auto" w:fill="F0F4FF"/>
          </w:tcPr>
          <w:p>
            <w:pPr>
              <w:spacing w:before="40" w:after="40"/>
            </w:pPr>
            <w:r>
              <w:rPr>
                <w:sz w:val="18"/>
              </w:rPr>
              <w:t>Approval Security Gate 3</w:t>
            </w:r>
          </w:p>
        </w:tc>
      </w:tr>
      <w:tr>
        <w:tc>
          <w:tcPr>
            <w:tcW w:type="dxa" w:w="1984"/>
            <w:shd w:val="clear" w:color="auto" w:fill="FFFFFF"/>
          </w:tcPr>
          <w:p>
            <w:pPr>
              <w:spacing w:before="40" w:after="40"/>
            </w:pPr>
            <w:r>
              <w:rPr>
                <w:sz w:val="18"/>
              </w:rPr>
              <w:t>System/Cloud Architect</w:t>
            </w:r>
          </w:p>
        </w:tc>
        <w:tc>
          <w:tcPr>
            <w:tcW w:type="dxa" w:w="5386"/>
            <w:shd w:val="clear" w:color="auto" w:fill="FFFFFF"/>
          </w:tcPr>
          <w:p>
            <w:pPr>
              <w:spacing w:before="40" w:after="40"/>
            </w:pPr>
            <w:r>
              <w:rPr>
                <w:sz w:val="18"/>
              </w:rPr>
              <w:t>Merancang arsitektur yang memenuhi prinsip ini; Memastikan network segmentation dan defense-in-depth</w:t>
            </w:r>
          </w:p>
        </w:tc>
        <w:tc>
          <w:tcPr>
            <w:tcW w:type="dxa" w:w="1984"/>
            <w:shd w:val="clear" w:color="auto" w:fill="FFFFFF"/>
          </w:tcPr>
          <w:p>
            <w:pPr>
              <w:spacing w:before="40" w:after="40"/>
            </w:pPr>
            <w:r>
              <w:rPr>
                <w:sz w:val="18"/>
              </w:rPr>
              <w:t>Menentukan arsitektur teknis</w:t>
            </w:r>
          </w:p>
        </w:tc>
      </w:tr>
      <w:tr>
        <w:tc>
          <w:tcPr>
            <w:tcW w:type="dxa" w:w="1984"/>
            <w:shd w:val="clear" w:color="auto" w:fill="F0F4FF"/>
          </w:tcPr>
          <w:p>
            <w:pPr>
              <w:spacing w:before="40" w:after="40"/>
            </w:pPr>
            <w:r>
              <w:rPr>
                <w:sz w:val="18"/>
              </w:rPr>
              <w:t>Developer / Engineer</w:t>
            </w:r>
          </w:p>
        </w:tc>
        <w:tc>
          <w:tcPr>
            <w:tcW w:type="dxa" w:w="5386"/>
            <w:shd w:val="clear" w:color="auto" w:fill="F0F4FF"/>
          </w:tcPr>
          <w:p>
            <w:pPr>
              <w:spacing w:before="40" w:after="40"/>
            </w:pPr>
            <w:r>
              <w:rPr>
                <w:sz w:val="18"/>
              </w:rPr>
              <w:t>Mengimplementasikan kode sesuai Secure Coding Standard (ISMS-SCS-001); Memperbaiki temuan SAST dan code review tepat waktu</w:t>
            </w:r>
          </w:p>
        </w:tc>
        <w:tc>
          <w:tcPr>
            <w:tcW w:type="dxa" w:w="1984"/>
            <w:shd w:val="clear" w:color="auto" w:fill="F0F4FF"/>
          </w:tcPr>
          <w:p>
            <w:pPr>
              <w:spacing w:before="40" w:after="40"/>
            </w:pPr>
            <w:r>
              <w:rPr>
                <w:sz w:val="18"/>
              </w:rPr>
              <w:t>Tidak ada veto power</w:t>
            </w:r>
          </w:p>
        </w:tc>
      </w:tr>
      <w:tr>
        <w:tc>
          <w:tcPr>
            <w:tcW w:type="dxa" w:w="1984"/>
            <w:shd w:val="clear" w:color="auto" w:fill="FFFFFF"/>
          </w:tcPr>
          <w:p>
            <w:pPr>
              <w:spacing w:before="40" w:after="40"/>
            </w:pPr>
            <w:r>
              <w:rPr>
                <w:sz w:val="18"/>
              </w:rPr>
              <w:t>QA / Security Tester</w:t>
            </w:r>
          </w:p>
        </w:tc>
        <w:tc>
          <w:tcPr>
            <w:tcW w:type="dxa" w:w="5386"/>
            <w:shd w:val="clear" w:color="auto" w:fill="FFFFFF"/>
          </w:tcPr>
          <w:p>
            <w:pPr>
              <w:spacing w:before="40" w:after="40"/>
            </w:pPr>
            <w:r>
              <w:rPr>
                <w:sz w:val="18"/>
              </w:rPr>
              <w:t>Melaksanakan DAST dan security testing; Mendokumentasikan temuan; Memverifikasi remediasi</w:t>
            </w:r>
          </w:p>
        </w:tc>
        <w:tc>
          <w:tcPr>
            <w:tcW w:type="dxa" w:w="1984"/>
            <w:shd w:val="clear" w:color="auto" w:fill="FFFFFF"/>
          </w:tcPr>
          <w:p>
            <w:pPr>
              <w:spacing w:before="40" w:after="40"/>
            </w:pPr>
            <w:r>
              <w:rPr>
                <w:sz w:val="18"/>
              </w:rPr>
              <w:t>Approval Security Gate 4</w:t>
            </w:r>
          </w:p>
        </w:tc>
      </w:tr>
      <w:tr>
        <w:tc>
          <w:tcPr>
            <w:tcW w:type="dxa" w:w="1984"/>
            <w:shd w:val="clear" w:color="auto" w:fill="F0F4FF"/>
          </w:tcPr>
          <w:p>
            <w:pPr>
              <w:spacing w:before="40" w:after="40"/>
            </w:pPr>
            <w:r>
              <w:rPr>
                <w:sz w:val="18"/>
              </w:rPr>
              <w:t>Operations / SRE</w:t>
            </w:r>
          </w:p>
        </w:tc>
        <w:tc>
          <w:tcPr>
            <w:tcW w:type="dxa" w:w="5386"/>
            <w:shd w:val="clear" w:color="auto" w:fill="F0F4FF"/>
          </w:tcPr>
          <w:p>
            <w:pPr>
              <w:spacing w:before="40" w:after="40"/>
            </w:pPr>
            <w:r>
              <w:rPr>
                <w:sz w:val="18"/>
              </w:rPr>
              <w:t>Memastikan hardening konfigurasi production; Mengelola patch management dan vulnerability remediation</w:t>
            </w:r>
          </w:p>
        </w:tc>
        <w:tc>
          <w:tcPr>
            <w:tcW w:type="dxa" w:w="1984"/>
            <w:shd w:val="clear" w:color="auto" w:fill="F0F4FF"/>
          </w:tcPr>
          <w:p>
            <w:pPr>
              <w:spacing w:before="40" w:after="40"/>
            </w:pPr>
            <w:r>
              <w:rPr>
                <w:sz w:val="18"/>
              </w:rPr>
              <w:t>Approval deployment production</w:t>
            </w:r>
          </w:p>
        </w:tc>
      </w:tr>
    </w:tbl>
    <w:p/>
    <w:p>
      <w:pPr>
        <w:spacing w:before="280" w:after="120"/>
        <w:pBdr>
          <w:bottom w:val="single" w:sz="6" w:color="1F497D"/>
        </w:pBdr>
      </w:pPr>
      <w:r>
        <w:rPr>
          <w:b/>
          <w:color w:val="1F497D"/>
          <w:sz w:val="28"/>
        </w:rPr>
        <w:t>9. Proses Exception (Pengecualian)</w:t>
      </w:r>
    </w:p>
    <w:p>
      <w:pPr>
        <w:spacing w:before="40" w:after="80"/>
      </w:pPr>
      <w:r>
        <w:rPr>
          <w:sz w:val="22"/>
        </w:rPr>
        <w:t>Pengecualian terhadap prinsip-prinsip dalam dokumen ini hanya dapat diberikan melalui proses formal berikut. Exception tanpa persetujuan CISO dianggap sebagai non-compliance dan dapat menjadi temuan audit.</w:t>
      </w:r>
    </w:p>
    <w:tbl>
      <w:tblPr>
        <w:tblStyle w:val="TableGrid"/>
        <w:tblW w:type="auto" w:w="0"/>
        <w:tblLook w:firstColumn="1" w:firstRow="1" w:lastColumn="0" w:lastRow="0" w:noHBand="0" w:noVBand="1" w:val="04A0"/>
      </w:tblPr>
      <w:tblGrid>
        <w:gridCol w:w="2339"/>
        <w:gridCol w:w="2339"/>
        <w:gridCol w:w="2339"/>
        <w:gridCol w:w="2339"/>
      </w:tblGrid>
      <w:tr>
        <w:tc>
          <w:tcPr>
            <w:tcW w:type="dxa" w:w="567"/>
            <w:shd w:val="clear" w:color="auto" w:fill="0B3D91"/>
          </w:tcPr>
          <w:p>
            <w:pPr>
              <w:spacing w:before="60" w:after="60"/>
            </w:pPr>
            <w:r>
              <w:rPr>
                <w:b/>
                <w:color w:val="FFFFFF"/>
                <w:sz w:val="18"/>
              </w:rPr>
              <w:t>Langkah</w:t>
            </w:r>
          </w:p>
        </w:tc>
        <w:tc>
          <w:tcPr>
            <w:tcW w:type="dxa" w:w="4819"/>
            <w:shd w:val="clear" w:color="auto" w:fill="0B3D91"/>
          </w:tcPr>
          <w:p>
            <w:pPr>
              <w:spacing w:before="60" w:after="60"/>
            </w:pPr>
            <w:r>
              <w:rPr>
                <w:b/>
                <w:color w:val="FFFFFF"/>
                <w:sz w:val="18"/>
              </w:rPr>
              <w:t>Aktivitas</w:t>
            </w:r>
          </w:p>
        </w:tc>
        <w:tc>
          <w:tcPr>
            <w:tcW w:type="dxa" w:w="1701"/>
            <w:shd w:val="clear" w:color="auto" w:fill="0B3D91"/>
          </w:tcPr>
          <w:p>
            <w:pPr>
              <w:spacing w:before="60" w:after="60"/>
            </w:pPr>
            <w:r>
              <w:rPr>
                <w:b/>
                <w:color w:val="FFFFFF"/>
                <w:sz w:val="18"/>
              </w:rPr>
              <w:t>PIC</w:t>
            </w:r>
          </w:p>
        </w:tc>
        <w:tc>
          <w:tcPr>
            <w:tcW w:type="dxa" w:w="850"/>
            <w:shd w:val="clear" w:color="auto" w:fill="0B3D91"/>
          </w:tcPr>
          <w:p>
            <w:pPr>
              <w:spacing w:before="60" w:after="60"/>
            </w:pPr>
            <w:r>
              <w:rPr>
                <w:b/>
                <w:color w:val="FFFFFF"/>
                <w:sz w:val="18"/>
              </w:rPr>
              <w:t>SLA</w:t>
            </w:r>
          </w:p>
        </w:tc>
      </w:tr>
      <w:tr>
        <w:tc>
          <w:tcPr>
            <w:tcW w:type="dxa" w:w="567"/>
            <w:shd w:val="clear" w:color="auto" w:fill="F0F4FF"/>
          </w:tcPr>
          <w:p>
            <w:pPr>
              <w:spacing w:before="40" w:after="40"/>
            </w:pPr>
            <w:r>
              <w:rPr>
                <w:sz w:val="18"/>
              </w:rPr>
              <w:t>1</w:t>
            </w:r>
          </w:p>
        </w:tc>
        <w:tc>
          <w:tcPr>
            <w:tcW w:type="dxa" w:w="4819"/>
            <w:shd w:val="clear" w:color="auto" w:fill="F0F4FF"/>
          </w:tcPr>
          <w:p>
            <w:pPr>
              <w:spacing w:before="40" w:after="40"/>
            </w:pPr>
            <w:r>
              <w:rPr>
                <w:sz w:val="18"/>
              </w:rPr>
              <w:t>Exception Request: Ajukan Exception Form (Form ISMS-EXC-001) dengan justifikasi bisnis, durasi exception, dan risiko yang diidentifikasi</w:t>
            </w:r>
          </w:p>
        </w:tc>
        <w:tc>
          <w:tcPr>
            <w:tcW w:type="dxa" w:w="1701"/>
            <w:shd w:val="clear" w:color="auto" w:fill="F0F4FF"/>
          </w:tcPr>
          <w:p>
            <w:pPr>
              <w:spacing w:before="40" w:after="40"/>
            </w:pPr>
            <w:r>
              <w:rPr>
                <w:sz w:val="18"/>
              </w:rPr>
              <w:t>Requestor</w:t>
            </w:r>
          </w:p>
        </w:tc>
        <w:tc>
          <w:tcPr>
            <w:tcW w:type="dxa" w:w="850"/>
            <w:shd w:val="clear" w:color="auto" w:fill="F0F4FF"/>
          </w:tcPr>
          <w:p>
            <w:pPr>
              <w:spacing w:before="40" w:after="40"/>
            </w:pPr>
            <w:r>
              <w:rPr>
                <w:sz w:val="18"/>
              </w:rPr>
              <w:t>D+0</w:t>
            </w:r>
          </w:p>
        </w:tc>
      </w:tr>
      <w:tr>
        <w:tc>
          <w:tcPr>
            <w:tcW w:type="dxa" w:w="567"/>
            <w:shd w:val="clear" w:color="auto" w:fill="FFFFFF"/>
          </w:tcPr>
          <w:p>
            <w:pPr>
              <w:spacing w:before="40" w:after="40"/>
            </w:pPr>
            <w:r>
              <w:rPr>
                <w:sz w:val="18"/>
              </w:rPr>
              <w:t>2</w:t>
            </w:r>
          </w:p>
        </w:tc>
        <w:tc>
          <w:tcPr>
            <w:tcW w:type="dxa" w:w="4819"/>
            <w:shd w:val="clear" w:color="auto" w:fill="FFFFFF"/>
          </w:tcPr>
          <w:p>
            <w:pPr>
              <w:spacing w:before="40" w:after="40"/>
            </w:pPr>
            <w:r>
              <w:rPr>
                <w:sz w:val="18"/>
              </w:rPr>
              <w:t>Risk Assessment: Security Architect menilai risiko dari exception yang diminta dan menyiapkan rekomendasi kompensating control</w:t>
            </w:r>
          </w:p>
        </w:tc>
        <w:tc>
          <w:tcPr>
            <w:tcW w:type="dxa" w:w="1701"/>
            <w:shd w:val="clear" w:color="auto" w:fill="FFFFFF"/>
          </w:tcPr>
          <w:p>
            <w:pPr>
              <w:spacing w:before="40" w:after="40"/>
            </w:pPr>
            <w:r>
              <w:rPr>
                <w:sz w:val="18"/>
              </w:rPr>
              <w:t>Security Architect</w:t>
            </w:r>
          </w:p>
        </w:tc>
        <w:tc>
          <w:tcPr>
            <w:tcW w:type="dxa" w:w="850"/>
            <w:shd w:val="clear" w:color="auto" w:fill="FFFFFF"/>
          </w:tcPr>
          <w:p>
            <w:pPr>
              <w:spacing w:before="40" w:after="40"/>
            </w:pPr>
            <w:r>
              <w:rPr>
                <w:sz w:val="18"/>
              </w:rPr>
              <w:t>D+3</w:t>
            </w:r>
          </w:p>
        </w:tc>
      </w:tr>
      <w:tr>
        <w:tc>
          <w:tcPr>
            <w:tcW w:type="dxa" w:w="567"/>
            <w:shd w:val="clear" w:color="auto" w:fill="F0F4FF"/>
          </w:tcPr>
          <w:p>
            <w:pPr>
              <w:spacing w:before="40" w:after="40"/>
            </w:pPr>
            <w:r>
              <w:rPr>
                <w:sz w:val="18"/>
              </w:rPr>
              <w:t>3</w:t>
            </w:r>
          </w:p>
        </w:tc>
        <w:tc>
          <w:tcPr>
            <w:tcW w:type="dxa" w:w="4819"/>
            <w:shd w:val="clear" w:color="auto" w:fill="F0F4FF"/>
          </w:tcPr>
          <w:p>
            <w:pPr>
              <w:spacing w:before="40" w:after="40"/>
            </w:pPr>
            <w:r>
              <w:rPr>
                <w:sz w:val="18"/>
              </w:rPr>
              <w:t>Approval: CISO menyetujui atau menolak exception. Exception untuk Tier-1 memerlukan approval tambahan dari Direktur Operasional</w:t>
            </w:r>
          </w:p>
        </w:tc>
        <w:tc>
          <w:tcPr>
            <w:tcW w:type="dxa" w:w="1701"/>
            <w:shd w:val="clear" w:color="auto" w:fill="F0F4FF"/>
          </w:tcPr>
          <w:p>
            <w:pPr>
              <w:spacing w:before="40" w:after="40"/>
            </w:pPr>
            <w:r>
              <w:rPr>
                <w:sz w:val="18"/>
              </w:rPr>
              <w:t>CISO / Direktur</w:t>
            </w:r>
          </w:p>
        </w:tc>
        <w:tc>
          <w:tcPr>
            <w:tcW w:type="dxa" w:w="850"/>
            <w:shd w:val="clear" w:color="auto" w:fill="F0F4FF"/>
          </w:tcPr>
          <w:p>
            <w:pPr>
              <w:spacing w:before="40" w:after="40"/>
            </w:pPr>
            <w:r>
              <w:rPr>
                <w:sz w:val="18"/>
              </w:rPr>
              <w:t>D+5</w:t>
            </w:r>
          </w:p>
        </w:tc>
      </w:tr>
      <w:tr>
        <w:tc>
          <w:tcPr>
            <w:tcW w:type="dxa" w:w="567"/>
            <w:shd w:val="clear" w:color="auto" w:fill="FFFFFF"/>
          </w:tcPr>
          <w:p>
            <w:pPr>
              <w:spacing w:before="40" w:after="40"/>
            </w:pPr>
            <w:r>
              <w:rPr>
                <w:sz w:val="18"/>
              </w:rPr>
              <w:t>4</w:t>
            </w:r>
          </w:p>
        </w:tc>
        <w:tc>
          <w:tcPr>
            <w:tcW w:type="dxa" w:w="4819"/>
            <w:shd w:val="clear" w:color="auto" w:fill="FFFFFF"/>
          </w:tcPr>
          <w:p>
            <w:pPr>
              <w:spacing w:before="40" w:after="40"/>
            </w:pPr>
            <w:r>
              <w:rPr>
                <w:sz w:val="18"/>
              </w:rPr>
              <w:t>Implementasi Compensating Control: Jika disetujui, compensating control harus diimplementasikan sebelum exception berlaku</w:t>
            </w:r>
          </w:p>
        </w:tc>
        <w:tc>
          <w:tcPr>
            <w:tcW w:type="dxa" w:w="1701"/>
            <w:shd w:val="clear" w:color="auto" w:fill="FFFFFF"/>
          </w:tcPr>
          <w:p>
            <w:pPr>
              <w:spacing w:before="40" w:after="40"/>
            </w:pPr>
            <w:r>
              <w:rPr>
                <w:sz w:val="18"/>
              </w:rPr>
              <w:t>Requestor + Ops</w:t>
            </w:r>
          </w:p>
        </w:tc>
        <w:tc>
          <w:tcPr>
            <w:tcW w:type="dxa" w:w="850"/>
            <w:shd w:val="clear" w:color="auto" w:fill="FFFFFF"/>
          </w:tcPr>
          <w:p>
            <w:pPr>
              <w:spacing w:before="40" w:after="40"/>
            </w:pPr>
            <w:r>
              <w:rPr>
                <w:sz w:val="18"/>
              </w:rPr>
              <w:t>D+10</w:t>
            </w:r>
          </w:p>
        </w:tc>
      </w:tr>
      <w:tr>
        <w:tc>
          <w:tcPr>
            <w:tcW w:type="dxa" w:w="567"/>
            <w:shd w:val="clear" w:color="auto" w:fill="F0F4FF"/>
          </w:tcPr>
          <w:p>
            <w:pPr>
              <w:spacing w:before="40" w:after="40"/>
            </w:pPr>
            <w:r>
              <w:rPr>
                <w:sz w:val="18"/>
              </w:rPr>
              <w:t>5</w:t>
            </w:r>
          </w:p>
        </w:tc>
        <w:tc>
          <w:tcPr>
            <w:tcW w:type="dxa" w:w="4819"/>
            <w:shd w:val="clear" w:color="auto" w:fill="F0F4FF"/>
          </w:tcPr>
          <w:p>
            <w:pPr>
              <w:spacing w:before="40" w:after="40"/>
            </w:pPr>
            <w:r>
              <w:rPr>
                <w:sz w:val="18"/>
              </w:rPr>
              <w:t>Register dan Review: Exception dicatat di Exception Register; direview setiap 90 hari; maksimal durasi exception adalah 6 bulan (dapat diperpanjang 1x)</w:t>
            </w:r>
          </w:p>
        </w:tc>
        <w:tc>
          <w:tcPr>
            <w:tcW w:type="dxa" w:w="1701"/>
            <w:shd w:val="clear" w:color="auto" w:fill="F0F4FF"/>
          </w:tcPr>
          <w:p>
            <w:pPr>
              <w:spacing w:before="40" w:after="40"/>
            </w:pPr>
            <w:r>
              <w:rPr>
                <w:sz w:val="18"/>
              </w:rPr>
              <w:t>CISO</w:t>
            </w:r>
          </w:p>
        </w:tc>
        <w:tc>
          <w:tcPr>
            <w:tcW w:type="dxa" w:w="850"/>
            <w:shd w:val="clear" w:color="auto" w:fill="F0F4FF"/>
          </w:tcPr>
          <w:p>
            <w:pPr>
              <w:spacing w:before="40" w:after="40"/>
            </w:pPr>
            <w:r>
              <w:rPr>
                <w:sz w:val="18"/>
              </w:rPr>
              <w:t>Triwulanan</w:t>
            </w:r>
          </w:p>
        </w:tc>
      </w:tr>
    </w:tbl>
    <w:p/>
    <w:p>
      <w:pPr>
        <w:spacing w:before="280" w:after="120"/>
        <w:pBdr>
          <w:bottom w:val="single" w:sz="6" w:color="1F497D"/>
        </w:pBdr>
      </w:pPr>
      <w:r>
        <w:rPr>
          <w:b/>
          <w:color w:val="1F497D"/>
          <w:sz w:val="28"/>
        </w:rPr>
        <w:t>10. Kepatuhan dan Pelanggaran</w:t>
      </w:r>
    </w:p>
    <w:p>
      <w:pPr>
        <w:spacing w:before="40" w:after="80"/>
      </w:pPr>
      <w:r>
        <w:rPr>
          <w:sz w:val="22"/>
        </w:rPr>
        <w:t>Kepatuhan terhadap standar ini dipantau melalui mekanisme berikut:</w:t>
      </w:r>
    </w:p>
    <w:p>
      <w:pPr>
        <w:pStyle w:val="ListBullet"/>
        <w:spacing w:before="40" w:after="40"/>
        <w:ind w:left="567"/>
      </w:pPr>
      <w:r>
        <w:rPr>
          <w:sz w:val="22"/>
        </w:rPr>
        <w:t>Internal Audit ISMS: Minimal 1 kali per tahun, mencakup verifikasi implementasi prinsip-prinsip ini</w:t>
      </w:r>
    </w:p>
    <w:p>
      <w:pPr>
        <w:pStyle w:val="ListBullet"/>
        <w:spacing w:before="40" w:after="40"/>
        <w:ind w:left="567"/>
      </w:pPr>
      <w:r>
        <w:rPr>
          <w:sz w:val="22"/>
        </w:rPr>
        <w:t>Security Gate Review: Setiap proyek diperiksa saat melewati security gate</w:t>
      </w:r>
    </w:p>
    <w:p>
      <w:pPr>
        <w:pStyle w:val="ListBullet"/>
        <w:spacing w:before="40" w:after="40"/>
        <w:ind w:left="567"/>
      </w:pPr>
      <w:r>
        <w:rPr>
          <w:sz w:val="22"/>
        </w:rPr>
        <w:t>Penetration Testing: Hasil pentest menjadi indikator kepatuhan praktis</w:t>
      </w:r>
    </w:p>
    <w:p>
      <w:pPr>
        <w:pStyle w:val="ListBullet"/>
        <w:spacing w:before="40" w:after="40"/>
        <w:ind w:left="567"/>
      </w:pPr>
      <w:r>
        <w:rPr>
          <w:sz w:val="22"/>
        </w:rPr>
        <w:t>Vulnerability Management: Tracking remediation terhadap temuan yang relevan dengan standar ini</w:t>
      </w:r>
    </w:p>
    <w:p>
      <w:pPr>
        <w:pStyle w:val="ListBullet"/>
        <w:spacing w:before="40" w:after="40"/>
        <w:ind w:left="567"/>
      </w:pPr>
      <w:r>
        <w:rPr>
          <w:sz w:val="22"/>
        </w:rPr>
        <w:t>Code Review Metrics: Persentase temuan SAST yang merupakan pelanggaran prinsip ini dilacak per kuartal</w:t>
      </w:r>
    </w:p>
    <w:p>
      <w:pPr>
        <w:spacing w:before="40" w:after="80"/>
      </w:pPr>
      <w:r>
        <w:rPr>
          <w:sz w:val="22"/>
        </w:rPr>
        <w:t>Pelanggaran terhadap standar ini akan ditindaklanjuti sesuai dengan Kebijakan Disiplin Karyawan PT Equity Life Indonesia dan, jika relevan, dilaporkan kepada OJK sesuai ketentuan yang berlaku. Proyek yang melanggar standar ini dapat dihentikan sementara (stop-work order) oleh CISO hingga ketidaksesuaian diperbaiki.</w:t>
      </w:r>
    </w:p>
    <w:p>
      <w:pPr>
        <w:spacing w:before="280" w:after="120"/>
        <w:pBdr>
          <w:bottom w:val="single" w:sz="6" w:color="1F497D"/>
        </w:pBdr>
      </w:pPr>
      <w:r>
        <w:rPr>
          <w:b/>
          <w:color w:val="1F497D"/>
          <w:sz w:val="28"/>
        </w:rPr>
        <w:t>Lampiran A: Daftar Dokumen Terkait</w:t>
      </w:r>
    </w:p>
    <w:tbl>
      <w:tblPr>
        <w:tblStyle w:val="TableGrid"/>
        <w:tblW w:type="auto" w:w="0"/>
        <w:tblLook w:firstColumn="1" w:firstRow="1" w:lastColumn="0" w:lastRow="0" w:noHBand="0" w:noVBand="1" w:val="04A0"/>
      </w:tblPr>
      <w:tblGrid>
        <w:gridCol w:w="3118"/>
        <w:gridCol w:w="3118"/>
        <w:gridCol w:w="3118"/>
      </w:tblGrid>
      <w:tr>
        <w:tc>
          <w:tcPr>
            <w:tcW w:type="dxa" w:w="1701"/>
            <w:shd w:val="clear" w:color="auto" w:fill="0B3D91"/>
          </w:tcPr>
          <w:p>
            <w:pPr>
              <w:spacing w:before="60" w:after="60"/>
            </w:pPr>
            <w:r>
              <w:rPr>
                <w:b/>
                <w:color w:val="FFFFFF"/>
                <w:sz w:val="18"/>
              </w:rPr>
              <w:t>Kode Dokumen</w:t>
            </w:r>
          </w:p>
        </w:tc>
        <w:tc>
          <w:tcPr>
            <w:tcW w:type="dxa" w:w="3402"/>
            <w:shd w:val="clear" w:color="auto" w:fill="0B3D91"/>
          </w:tcPr>
          <w:p>
            <w:pPr>
              <w:spacing w:before="60" w:after="60"/>
            </w:pPr>
            <w:r>
              <w:rPr>
                <w:b/>
                <w:color w:val="FFFFFF"/>
                <w:sz w:val="18"/>
              </w:rPr>
              <w:t>Nama Dokumen</w:t>
            </w:r>
          </w:p>
        </w:tc>
        <w:tc>
          <w:tcPr>
            <w:tcW w:type="dxa" w:w="4252"/>
            <w:shd w:val="clear" w:color="auto" w:fill="0B3D91"/>
          </w:tcPr>
          <w:p>
            <w:pPr>
              <w:spacing w:before="60" w:after="60"/>
            </w:pPr>
            <w:r>
              <w:rPr>
                <w:b/>
                <w:color w:val="FFFFFF"/>
                <w:sz w:val="18"/>
              </w:rPr>
              <w:t>Keterangan</w:t>
            </w:r>
          </w:p>
        </w:tc>
      </w:tr>
      <w:tr>
        <w:tc>
          <w:tcPr>
            <w:tcW w:type="dxa" w:w="1701"/>
            <w:shd w:val="clear" w:color="auto" w:fill="F0F4FF"/>
          </w:tcPr>
          <w:p>
            <w:pPr>
              <w:spacing w:before="40" w:after="40"/>
            </w:pPr>
            <w:r>
              <w:rPr>
                <w:sz w:val="18"/>
              </w:rPr>
              <w:t>ISMS-SAE-002</w:t>
            </w:r>
          </w:p>
        </w:tc>
        <w:tc>
          <w:tcPr>
            <w:tcW w:type="dxa" w:w="3402"/>
            <w:shd w:val="clear" w:color="auto" w:fill="F0F4FF"/>
          </w:tcPr>
          <w:p>
            <w:pPr>
              <w:spacing w:before="40" w:after="40"/>
            </w:pPr>
            <w:r>
              <w:rPr>
                <w:sz w:val="18"/>
              </w:rPr>
              <w:t>Defense-in-Depth Architecture Diagram</w:t>
            </w:r>
          </w:p>
        </w:tc>
        <w:tc>
          <w:tcPr>
            <w:tcW w:type="dxa" w:w="4252"/>
            <w:shd w:val="clear" w:color="auto" w:fill="F0F4FF"/>
          </w:tcPr>
          <w:p>
            <w:pPr>
              <w:spacing w:before="40" w:after="40"/>
            </w:pPr>
            <w:r>
              <w:rPr>
                <w:sz w:val="18"/>
              </w:rPr>
              <w:t>Arsitektur jaringan berlapis PT Equity Life</w:t>
            </w:r>
          </w:p>
        </w:tc>
      </w:tr>
      <w:tr>
        <w:tc>
          <w:tcPr>
            <w:tcW w:type="dxa" w:w="1701"/>
            <w:shd w:val="clear" w:color="auto" w:fill="FFFFFF"/>
          </w:tcPr>
          <w:p>
            <w:pPr>
              <w:spacing w:before="40" w:after="40"/>
            </w:pPr>
            <w:r>
              <w:rPr>
                <w:sz w:val="18"/>
              </w:rPr>
              <w:t>ISMS-SAE-003</w:t>
            </w:r>
          </w:p>
        </w:tc>
        <w:tc>
          <w:tcPr>
            <w:tcW w:type="dxa" w:w="3402"/>
            <w:shd w:val="clear" w:color="auto" w:fill="FFFFFF"/>
          </w:tcPr>
          <w:p>
            <w:pPr>
              <w:spacing w:before="40" w:after="40"/>
            </w:pPr>
            <w:r>
              <w:rPr>
                <w:sz w:val="18"/>
              </w:rPr>
              <w:t>Security Assessment &amp; Go-Live Checklist</w:t>
            </w:r>
          </w:p>
        </w:tc>
        <w:tc>
          <w:tcPr>
            <w:tcW w:type="dxa" w:w="4252"/>
            <w:shd w:val="clear" w:color="auto" w:fill="FFFFFF"/>
          </w:tcPr>
          <w:p>
            <w:pPr>
              <w:spacing w:before="40" w:after="40"/>
            </w:pPr>
            <w:r>
              <w:rPr>
                <w:sz w:val="18"/>
              </w:rPr>
              <w:t>Checklist pre-production security assessment</w:t>
            </w:r>
          </w:p>
        </w:tc>
      </w:tr>
      <w:tr>
        <w:tc>
          <w:tcPr>
            <w:tcW w:type="dxa" w:w="1701"/>
            <w:shd w:val="clear" w:color="auto" w:fill="F0F4FF"/>
          </w:tcPr>
          <w:p>
            <w:pPr>
              <w:spacing w:before="40" w:after="40"/>
            </w:pPr>
            <w:r>
              <w:rPr>
                <w:sz w:val="18"/>
              </w:rPr>
              <w:t>ISMS-SCS-001</w:t>
            </w:r>
          </w:p>
        </w:tc>
        <w:tc>
          <w:tcPr>
            <w:tcW w:type="dxa" w:w="3402"/>
            <w:shd w:val="clear" w:color="auto" w:fill="F0F4FF"/>
          </w:tcPr>
          <w:p>
            <w:pPr>
              <w:spacing w:before="40" w:after="40"/>
            </w:pPr>
            <w:r>
              <w:rPr>
                <w:sz w:val="18"/>
              </w:rPr>
              <w:t>Standar Secure Coding</w:t>
            </w:r>
          </w:p>
        </w:tc>
        <w:tc>
          <w:tcPr>
            <w:tcW w:type="dxa" w:w="4252"/>
            <w:shd w:val="clear" w:color="auto" w:fill="F0F4FF"/>
          </w:tcPr>
          <w:p>
            <w:pPr>
              <w:spacing w:before="40" w:after="40"/>
            </w:pPr>
            <w:r>
              <w:rPr>
                <w:sz w:val="18"/>
              </w:rPr>
              <w:t>Panduan koding aman untuk developer</w:t>
            </w:r>
          </w:p>
        </w:tc>
      </w:tr>
      <w:tr>
        <w:tc>
          <w:tcPr>
            <w:tcW w:type="dxa" w:w="1701"/>
            <w:shd w:val="clear" w:color="auto" w:fill="FFFFFF"/>
          </w:tcPr>
          <w:p>
            <w:pPr>
              <w:spacing w:before="40" w:after="40"/>
            </w:pPr>
            <w:r>
              <w:rPr>
                <w:sz w:val="18"/>
              </w:rPr>
              <w:t>ISMS-TI-001</w:t>
            </w:r>
          </w:p>
        </w:tc>
        <w:tc>
          <w:tcPr>
            <w:tcW w:type="dxa" w:w="3402"/>
            <w:shd w:val="clear" w:color="auto" w:fill="FFFFFF"/>
          </w:tcPr>
          <w:p>
            <w:pPr>
              <w:spacing w:before="40" w:after="40"/>
            </w:pPr>
            <w:r>
              <w:rPr>
                <w:sz w:val="18"/>
              </w:rPr>
              <w:t>Kebijakan &amp; SOP Threat Intelligence</w:t>
            </w:r>
          </w:p>
        </w:tc>
        <w:tc>
          <w:tcPr>
            <w:tcW w:type="dxa" w:w="4252"/>
            <w:shd w:val="clear" w:color="auto" w:fill="FFFFFF"/>
          </w:tcPr>
          <w:p>
            <w:pPr>
              <w:spacing w:before="40" w:after="40"/>
            </w:pPr>
            <w:r>
              <w:rPr>
                <w:sz w:val="18"/>
              </w:rPr>
              <w:t>Pengelolaan intelijen ancaman</w:t>
            </w:r>
          </w:p>
        </w:tc>
      </w:tr>
      <w:tr>
        <w:tc>
          <w:tcPr>
            <w:tcW w:type="dxa" w:w="1701"/>
            <w:shd w:val="clear" w:color="auto" w:fill="F0F4FF"/>
          </w:tcPr>
          <w:p>
            <w:pPr>
              <w:spacing w:before="40" w:after="40"/>
            </w:pPr>
            <w:r>
              <w:rPr>
                <w:sz w:val="18"/>
              </w:rPr>
              <w:t>ISMS-DS-001</w:t>
            </w:r>
          </w:p>
        </w:tc>
        <w:tc>
          <w:tcPr>
            <w:tcW w:type="dxa" w:w="3402"/>
            <w:shd w:val="clear" w:color="auto" w:fill="F0F4FF"/>
          </w:tcPr>
          <w:p>
            <w:pPr>
              <w:spacing w:before="40" w:after="40"/>
            </w:pPr>
            <w:r>
              <w:rPr>
                <w:sz w:val="18"/>
              </w:rPr>
              <w:t>Kebijakan &amp; SOP Data Security</w:t>
            </w:r>
          </w:p>
        </w:tc>
        <w:tc>
          <w:tcPr>
            <w:tcW w:type="dxa" w:w="4252"/>
            <w:shd w:val="clear" w:color="auto" w:fill="F0F4FF"/>
          </w:tcPr>
          <w:p>
            <w:pPr>
              <w:spacing w:before="40" w:after="40"/>
            </w:pPr>
            <w:r>
              <w:rPr>
                <w:sz w:val="18"/>
              </w:rPr>
              <w:t>Keamanan data dan enkripsi</w:t>
            </w:r>
          </w:p>
        </w:tc>
      </w:tr>
      <w:tr>
        <w:tc>
          <w:tcPr>
            <w:tcW w:type="dxa" w:w="1701"/>
            <w:shd w:val="clear" w:color="auto" w:fill="FFFFFF"/>
          </w:tcPr>
          <w:p>
            <w:pPr>
              <w:spacing w:before="40" w:after="40"/>
            </w:pPr>
            <w:r>
              <w:rPr>
                <w:sz w:val="18"/>
              </w:rPr>
              <w:t>ISMS-AM-001</w:t>
            </w:r>
          </w:p>
        </w:tc>
        <w:tc>
          <w:tcPr>
            <w:tcW w:type="dxa" w:w="3402"/>
            <w:shd w:val="clear" w:color="auto" w:fill="FFFFFF"/>
          </w:tcPr>
          <w:p>
            <w:pPr>
              <w:spacing w:before="40" w:after="40"/>
            </w:pPr>
            <w:r>
              <w:rPr>
                <w:sz w:val="18"/>
              </w:rPr>
              <w:t>Kebijakan &amp; SOP Activity Monitoring</w:t>
            </w:r>
          </w:p>
        </w:tc>
        <w:tc>
          <w:tcPr>
            <w:tcW w:type="dxa" w:w="4252"/>
            <w:shd w:val="clear" w:color="auto" w:fill="FFFFFF"/>
          </w:tcPr>
          <w:p>
            <w:pPr>
              <w:spacing w:before="40" w:after="40"/>
            </w:pPr>
            <w:r>
              <w:rPr>
                <w:sz w:val="18"/>
              </w:rPr>
              <w:t>Pemantauan aktivitas dan SIEM</w:t>
            </w:r>
          </w:p>
        </w:tc>
      </w:tr>
      <w:tr>
        <w:tc>
          <w:tcPr>
            <w:tcW w:type="dxa" w:w="1701"/>
            <w:shd w:val="clear" w:color="auto" w:fill="F0F4FF"/>
          </w:tcPr>
          <w:p>
            <w:pPr>
              <w:spacing w:before="40" w:after="40"/>
            </w:pPr>
            <w:r>
              <w:rPr>
                <w:sz w:val="18"/>
              </w:rPr>
              <w:t>ISMS-RA-001</w:t>
            </w:r>
          </w:p>
        </w:tc>
        <w:tc>
          <w:tcPr>
            <w:tcW w:type="dxa" w:w="3402"/>
            <w:shd w:val="clear" w:color="auto" w:fill="F0F4FF"/>
          </w:tcPr>
          <w:p>
            <w:pPr>
              <w:spacing w:before="40" w:after="40"/>
            </w:pPr>
            <w:r>
              <w:rPr>
                <w:sz w:val="18"/>
              </w:rPr>
              <w:t>Risk Assessment &amp; Treatment Plan</w:t>
            </w:r>
          </w:p>
        </w:tc>
        <w:tc>
          <w:tcPr>
            <w:tcW w:type="dxa" w:w="4252"/>
            <w:shd w:val="clear" w:color="auto" w:fill="F0F4FF"/>
          </w:tcPr>
          <w:p>
            <w:pPr>
              <w:spacing w:before="40" w:after="40"/>
            </w:pPr>
            <w:r>
              <w:rPr>
                <w:sz w:val="18"/>
              </w:rPr>
              <w:t>Penilaian dan penanganan risiko</w:t>
            </w:r>
          </w:p>
        </w:tc>
      </w:tr>
      <w:tr>
        <w:tc>
          <w:tcPr>
            <w:tcW w:type="dxa" w:w="1701"/>
            <w:shd w:val="clear" w:color="auto" w:fill="FFFFFF"/>
          </w:tcPr>
          <w:p>
            <w:pPr>
              <w:spacing w:before="40" w:after="40"/>
            </w:pPr>
            <w:r>
              <w:rPr>
                <w:sz w:val="18"/>
              </w:rPr>
              <w:t>ISMS-POL-001</w:t>
            </w:r>
          </w:p>
        </w:tc>
        <w:tc>
          <w:tcPr>
            <w:tcW w:type="dxa" w:w="3402"/>
            <w:shd w:val="clear" w:color="auto" w:fill="FFFFFF"/>
          </w:tcPr>
          <w:p>
            <w:pPr>
              <w:spacing w:before="40" w:after="40"/>
            </w:pPr>
            <w:r>
              <w:rPr>
                <w:sz w:val="18"/>
              </w:rPr>
              <w:t>Kebijakan ISMS</w:t>
            </w:r>
          </w:p>
        </w:tc>
        <w:tc>
          <w:tcPr>
            <w:tcW w:type="dxa" w:w="4252"/>
            <w:shd w:val="clear" w:color="auto" w:fill="FFFFFF"/>
          </w:tcPr>
          <w:p>
            <w:pPr>
              <w:spacing w:before="40" w:after="40"/>
            </w:pPr>
            <w:r>
              <w:rPr>
                <w:sz w:val="18"/>
              </w:rPr>
              <w:t>Kebijakan utama sistem manajemen keamanan informasi</w:t>
            </w:r>
          </w:p>
        </w:tc>
      </w:tr>
    </w:tbl>
    <w:p/>
    <w:p>
      <w:pPr>
        <w:spacing w:before="280" w:after="120"/>
        <w:pBdr>
          <w:bottom w:val="single" w:sz="6" w:color="1F497D"/>
        </w:pBdr>
      </w:pPr>
      <w:r>
        <w:rPr>
          <w:b/>
          <w:color w:val="1F497D"/>
          <w:sz w:val="28"/>
        </w:rPr>
        <w:t>Lampiran B: Threat Modeling Template (STRIDE)</w:t>
      </w:r>
    </w:p>
    <w:tbl>
      <w:tblPr>
        <w:tblStyle w:val="TableGrid"/>
        <w:tblW w:type="auto" w:w="0"/>
        <w:tblLook w:firstColumn="1" w:firstRow="1" w:lastColumn="0" w:lastRow="0" w:noHBand="0" w:noVBand="1" w:val="04A0"/>
      </w:tblPr>
      <w:tblGrid>
        <w:gridCol w:w="2339"/>
        <w:gridCol w:w="2339"/>
        <w:gridCol w:w="2339"/>
        <w:gridCol w:w="2339"/>
      </w:tblGrid>
      <w:tr>
        <w:tc>
          <w:tcPr>
            <w:tcW w:type="dxa" w:w="1701"/>
            <w:shd w:val="clear" w:color="auto" w:fill="0B3D91"/>
          </w:tcPr>
          <w:p>
            <w:pPr>
              <w:spacing w:before="60" w:after="60"/>
            </w:pPr>
            <w:r>
              <w:rPr>
                <w:b/>
                <w:color w:val="FFFFFF"/>
                <w:sz w:val="18"/>
              </w:rPr>
              <w:t>STRIDE Category</w:t>
            </w:r>
          </w:p>
        </w:tc>
        <w:tc>
          <w:tcPr>
            <w:tcW w:type="dxa" w:w="2268"/>
            <w:shd w:val="clear" w:color="auto" w:fill="0B3D91"/>
          </w:tcPr>
          <w:p>
            <w:pPr>
              <w:spacing w:before="60" w:after="60"/>
            </w:pPr>
            <w:r>
              <w:rPr>
                <w:b/>
                <w:color w:val="FFFFFF"/>
                <w:sz w:val="18"/>
              </w:rPr>
              <w:t>Definisi</w:t>
            </w:r>
          </w:p>
        </w:tc>
        <w:tc>
          <w:tcPr>
            <w:tcW w:type="dxa" w:w="3118"/>
            <w:shd w:val="clear" w:color="auto" w:fill="0B3D91"/>
          </w:tcPr>
          <w:p>
            <w:pPr>
              <w:spacing w:before="60" w:after="60"/>
            </w:pPr>
            <w:r>
              <w:rPr>
                <w:b/>
                <w:color w:val="FFFFFF"/>
                <w:sz w:val="18"/>
              </w:rPr>
              <w:t>Contoh pada Sistem Asuransi</w:t>
            </w:r>
          </w:p>
        </w:tc>
        <w:tc>
          <w:tcPr>
            <w:tcW w:type="dxa" w:w="2268"/>
            <w:shd w:val="clear" w:color="auto" w:fill="0B3D91"/>
          </w:tcPr>
          <w:p>
            <w:pPr>
              <w:spacing w:before="60" w:after="60"/>
            </w:pPr>
            <w:r>
              <w:rPr>
                <w:b/>
                <w:color w:val="FFFFFF"/>
                <w:sz w:val="18"/>
              </w:rPr>
              <w:t>Kontrol</w:t>
            </w:r>
          </w:p>
        </w:tc>
      </w:tr>
      <w:tr>
        <w:tc>
          <w:tcPr>
            <w:tcW w:type="dxa" w:w="1701"/>
            <w:shd w:val="clear" w:color="auto" w:fill="F0F4FF"/>
          </w:tcPr>
          <w:p>
            <w:pPr>
              <w:spacing w:before="40" w:after="40"/>
            </w:pPr>
            <w:r>
              <w:rPr>
                <w:sz w:val="18"/>
              </w:rPr>
              <w:t>Spoofing</w:t>
            </w:r>
          </w:p>
        </w:tc>
        <w:tc>
          <w:tcPr>
            <w:tcW w:type="dxa" w:w="2268"/>
            <w:shd w:val="clear" w:color="auto" w:fill="F0F4FF"/>
          </w:tcPr>
          <w:p>
            <w:pPr>
              <w:spacing w:before="40" w:after="40"/>
            </w:pPr>
            <w:r>
              <w:rPr>
                <w:sz w:val="18"/>
              </w:rPr>
              <w:t>Penyamaran sebagai entitas lain</w:t>
            </w:r>
          </w:p>
        </w:tc>
        <w:tc>
          <w:tcPr>
            <w:tcW w:type="dxa" w:w="3118"/>
            <w:shd w:val="clear" w:color="auto" w:fill="F0F4FF"/>
          </w:tcPr>
          <w:p>
            <w:pPr>
              <w:spacing w:before="40" w:after="40"/>
            </w:pPr>
            <w:r>
              <w:rPr>
                <w:sz w:val="18"/>
              </w:rPr>
              <w:t>Attacker menyamar sebagai nasabah sah untuk klaim</w:t>
            </w:r>
          </w:p>
        </w:tc>
        <w:tc>
          <w:tcPr>
            <w:tcW w:type="dxa" w:w="2268"/>
            <w:shd w:val="clear" w:color="auto" w:fill="F0F4FF"/>
          </w:tcPr>
          <w:p>
            <w:pPr>
              <w:spacing w:before="40" w:after="40"/>
            </w:pPr>
            <w:r>
              <w:rPr>
                <w:sz w:val="18"/>
              </w:rPr>
              <w:t>MFA, PKI, digital signature</w:t>
            </w:r>
          </w:p>
        </w:tc>
      </w:tr>
      <w:tr>
        <w:tc>
          <w:tcPr>
            <w:tcW w:type="dxa" w:w="1701"/>
            <w:shd w:val="clear" w:color="auto" w:fill="FFFFFF"/>
          </w:tcPr>
          <w:p>
            <w:pPr>
              <w:spacing w:before="40" w:after="40"/>
            </w:pPr>
            <w:r>
              <w:rPr>
                <w:sz w:val="18"/>
              </w:rPr>
              <w:t>Tampering</w:t>
            </w:r>
          </w:p>
        </w:tc>
        <w:tc>
          <w:tcPr>
            <w:tcW w:type="dxa" w:w="2268"/>
            <w:shd w:val="clear" w:color="auto" w:fill="FFFFFF"/>
          </w:tcPr>
          <w:p>
            <w:pPr>
              <w:spacing w:before="40" w:after="40"/>
            </w:pPr>
            <w:r>
              <w:rPr>
                <w:sz w:val="18"/>
              </w:rPr>
              <w:t>Modifikasi data tanpa otorisasi</w:t>
            </w:r>
          </w:p>
        </w:tc>
        <w:tc>
          <w:tcPr>
            <w:tcW w:type="dxa" w:w="3118"/>
            <w:shd w:val="clear" w:color="auto" w:fill="FFFFFF"/>
          </w:tcPr>
          <w:p>
            <w:pPr>
              <w:spacing w:before="40" w:after="40"/>
            </w:pPr>
            <w:r>
              <w:rPr>
                <w:sz w:val="18"/>
              </w:rPr>
              <w:t>Manipulasi nilai premi atau benefit polis</w:t>
            </w:r>
          </w:p>
        </w:tc>
        <w:tc>
          <w:tcPr>
            <w:tcW w:type="dxa" w:w="2268"/>
            <w:shd w:val="clear" w:color="auto" w:fill="FFFFFF"/>
          </w:tcPr>
          <w:p>
            <w:pPr>
              <w:spacing w:before="40" w:after="40"/>
            </w:pPr>
            <w:r>
              <w:rPr>
                <w:sz w:val="18"/>
              </w:rPr>
              <w:t>Integrity check, audit log, RBAC</w:t>
            </w:r>
          </w:p>
        </w:tc>
      </w:tr>
      <w:tr>
        <w:tc>
          <w:tcPr>
            <w:tcW w:type="dxa" w:w="1701"/>
            <w:shd w:val="clear" w:color="auto" w:fill="F0F4FF"/>
          </w:tcPr>
          <w:p>
            <w:pPr>
              <w:spacing w:before="40" w:after="40"/>
            </w:pPr>
            <w:r>
              <w:rPr>
                <w:sz w:val="18"/>
              </w:rPr>
              <w:t>Repudiation</w:t>
            </w:r>
          </w:p>
        </w:tc>
        <w:tc>
          <w:tcPr>
            <w:tcW w:type="dxa" w:w="2268"/>
            <w:shd w:val="clear" w:color="auto" w:fill="F0F4FF"/>
          </w:tcPr>
          <w:p>
            <w:pPr>
              <w:spacing w:before="40" w:after="40"/>
            </w:pPr>
            <w:r>
              <w:rPr>
                <w:sz w:val="18"/>
              </w:rPr>
              <w:t>Menyangkal telah melakukan aksi</w:t>
            </w:r>
          </w:p>
        </w:tc>
        <w:tc>
          <w:tcPr>
            <w:tcW w:type="dxa" w:w="3118"/>
            <w:shd w:val="clear" w:color="auto" w:fill="F0F4FF"/>
          </w:tcPr>
          <w:p>
            <w:pPr>
              <w:spacing w:before="40" w:after="40"/>
            </w:pPr>
            <w:r>
              <w:rPr>
                <w:sz w:val="18"/>
              </w:rPr>
              <w:t>Agen menyangkal telah mengubah data nasabah</w:t>
            </w:r>
          </w:p>
        </w:tc>
        <w:tc>
          <w:tcPr>
            <w:tcW w:type="dxa" w:w="2268"/>
            <w:shd w:val="clear" w:color="auto" w:fill="F0F4FF"/>
          </w:tcPr>
          <w:p>
            <w:pPr>
              <w:spacing w:before="40" w:after="40"/>
            </w:pPr>
            <w:r>
              <w:rPr>
                <w:sz w:val="18"/>
              </w:rPr>
              <w:t>Non-repudiation log, digital signature</w:t>
            </w:r>
          </w:p>
        </w:tc>
      </w:tr>
      <w:tr>
        <w:tc>
          <w:tcPr>
            <w:tcW w:type="dxa" w:w="1701"/>
            <w:shd w:val="clear" w:color="auto" w:fill="FFFFFF"/>
          </w:tcPr>
          <w:p>
            <w:pPr>
              <w:spacing w:before="40" w:after="40"/>
            </w:pPr>
            <w:r>
              <w:rPr>
                <w:sz w:val="18"/>
              </w:rPr>
              <w:t>Information Disclosure</w:t>
            </w:r>
          </w:p>
        </w:tc>
        <w:tc>
          <w:tcPr>
            <w:tcW w:type="dxa" w:w="2268"/>
            <w:shd w:val="clear" w:color="auto" w:fill="FFFFFF"/>
          </w:tcPr>
          <w:p>
            <w:pPr>
              <w:spacing w:before="40" w:after="40"/>
            </w:pPr>
            <w:r>
              <w:rPr>
                <w:sz w:val="18"/>
              </w:rPr>
              <w:t>Kebocoran data sensitif</w:t>
            </w:r>
          </w:p>
        </w:tc>
        <w:tc>
          <w:tcPr>
            <w:tcW w:type="dxa" w:w="3118"/>
            <w:shd w:val="clear" w:color="auto" w:fill="FFFFFF"/>
          </w:tcPr>
          <w:p>
            <w:pPr>
              <w:spacing w:before="40" w:after="40"/>
            </w:pPr>
            <w:r>
              <w:rPr>
                <w:sz w:val="18"/>
              </w:rPr>
              <w:t>Ekspos data KTP/rekening nasabah</w:t>
            </w:r>
          </w:p>
        </w:tc>
        <w:tc>
          <w:tcPr>
            <w:tcW w:type="dxa" w:w="2268"/>
            <w:shd w:val="clear" w:color="auto" w:fill="FFFFFF"/>
          </w:tcPr>
          <w:p>
            <w:pPr>
              <w:spacing w:before="40" w:after="40"/>
            </w:pPr>
            <w:r>
              <w:rPr>
                <w:sz w:val="18"/>
              </w:rPr>
              <w:t>Enkripsi, masking, DLP, access control</w:t>
            </w:r>
          </w:p>
        </w:tc>
      </w:tr>
      <w:tr>
        <w:tc>
          <w:tcPr>
            <w:tcW w:type="dxa" w:w="1701"/>
            <w:shd w:val="clear" w:color="auto" w:fill="F0F4FF"/>
          </w:tcPr>
          <w:p>
            <w:pPr>
              <w:spacing w:before="40" w:after="40"/>
            </w:pPr>
            <w:r>
              <w:rPr>
                <w:sz w:val="18"/>
              </w:rPr>
              <w:t>Denial of Service</w:t>
            </w:r>
          </w:p>
        </w:tc>
        <w:tc>
          <w:tcPr>
            <w:tcW w:type="dxa" w:w="2268"/>
            <w:shd w:val="clear" w:color="auto" w:fill="F0F4FF"/>
          </w:tcPr>
          <w:p>
            <w:pPr>
              <w:spacing w:before="40" w:after="40"/>
            </w:pPr>
            <w:r>
              <w:rPr>
                <w:sz w:val="18"/>
              </w:rPr>
              <w:t>Membuat layanan tidak tersedia</w:t>
            </w:r>
          </w:p>
        </w:tc>
        <w:tc>
          <w:tcPr>
            <w:tcW w:type="dxa" w:w="3118"/>
            <w:shd w:val="clear" w:color="auto" w:fill="F0F4FF"/>
          </w:tcPr>
          <w:p>
            <w:pPr>
              <w:spacing w:before="40" w:after="40"/>
            </w:pPr>
            <w:r>
              <w:rPr>
                <w:sz w:val="18"/>
              </w:rPr>
              <w:t>DDoS pada portal klaim saat bencana alam</w:t>
            </w:r>
          </w:p>
        </w:tc>
        <w:tc>
          <w:tcPr>
            <w:tcW w:type="dxa" w:w="2268"/>
            <w:shd w:val="clear" w:color="auto" w:fill="F0F4FF"/>
          </w:tcPr>
          <w:p>
            <w:pPr>
              <w:spacing w:before="40" w:after="40"/>
            </w:pPr>
            <w:r>
              <w:rPr>
                <w:sz w:val="18"/>
              </w:rPr>
              <w:t>Rate limiting, CDN, auto-scaling, WAF</w:t>
            </w:r>
          </w:p>
        </w:tc>
      </w:tr>
      <w:tr>
        <w:tc>
          <w:tcPr>
            <w:tcW w:type="dxa" w:w="1701"/>
            <w:shd w:val="clear" w:color="auto" w:fill="FFFFFF"/>
          </w:tcPr>
          <w:p>
            <w:pPr>
              <w:spacing w:before="40" w:after="40"/>
            </w:pPr>
            <w:r>
              <w:rPr>
                <w:sz w:val="18"/>
              </w:rPr>
              <w:t>Elevation of Privilege</w:t>
            </w:r>
          </w:p>
        </w:tc>
        <w:tc>
          <w:tcPr>
            <w:tcW w:type="dxa" w:w="2268"/>
            <w:shd w:val="clear" w:color="auto" w:fill="FFFFFF"/>
          </w:tcPr>
          <w:p>
            <w:pPr>
              <w:spacing w:before="40" w:after="40"/>
            </w:pPr>
            <w:r>
              <w:rPr>
                <w:sz w:val="18"/>
              </w:rPr>
              <w:t>Mendapatkan hak akses lebih tinggi</w:t>
            </w:r>
          </w:p>
        </w:tc>
        <w:tc>
          <w:tcPr>
            <w:tcW w:type="dxa" w:w="3118"/>
            <w:shd w:val="clear" w:color="auto" w:fill="FFFFFF"/>
          </w:tcPr>
          <w:p>
            <w:pPr>
              <w:spacing w:before="40" w:after="40"/>
            </w:pPr>
            <w:r>
              <w:rPr>
                <w:sz w:val="18"/>
              </w:rPr>
              <w:t>Developer mendapat akses admin production</w:t>
            </w:r>
          </w:p>
        </w:tc>
        <w:tc>
          <w:tcPr>
            <w:tcW w:type="dxa" w:w="2268"/>
            <w:shd w:val="clear" w:color="auto" w:fill="FFFFFF"/>
          </w:tcPr>
          <w:p>
            <w:pPr>
              <w:spacing w:before="40" w:after="40"/>
            </w:pPr>
            <w:r>
              <w:rPr>
                <w:sz w:val="18"/>
              </w:rPr>
              <w:t>Least privilege, PAM, MFA, audit log</w:t>
            </w:r>
          </w:p>
        </w:tc>
      </w:tr>
    </w:tbl>
    <w:p/>
    <w:sectPr w:rsidR="00FC693F" w:rsidRPr="0006063C" w:rsidSect="00034616">
      <w:headerReference w:type="default" r:id="rId9"/>
      <w:footerReference w:type="default" r:id="rId10"/>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PT Equity Life Indonesia  |  ISMS-SAE-001  |  Maret 2026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497D"/>
        <w:sz w:val="16"/>
      </w:rPr>
      <w:t>PT Equity Life Indonesia  |  Secure System Architecture &amp; Engineering Principles  |  ISMS-SAE-001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