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240"/>
        <w:jc w:val="center"/>
      </w:pPr>
      <w:r>
        <w:rPr>
          <w:rFonts w:ascii="Arial" w:cs="Arial" w:eastAsia="Arial" w:hAnsi="Arial"/>
          <w:b/>
          <w:bCs/>
          <w:color w:val="1F4E79"/>
          <w:sz w:val="40"/>
          <w:szCs w:val="40"/>
        </w:rPr>
        <w:t xml:space="preserve">Equity Life Indonesia</w:t>
      </w:r>
    </w:p>
    <w:p>
      <w:pPr>
        <w:spacing w:before="0" w:after="160"/>
        <w:jc w:val="center"/>
      </w:pPr>
      <w:r>
        <w:rPr>
          <w:rFonts w:ascii="Arial" w:cs="Arial" w:eastAsia="Arial" w:hAnsi="Arial"/>
          <w:b/>
          <w:bCs/>
          <w:color w:val="2E75B6"/>
          <w:sz w:val="28"/>
          <w:szCs w:val="28"/>
        </w:rPr>
        <w:t xml:space="preserve">Business Functional Requirement Document</w:t>
      </w:r>
    </w:p>
    <w:p>
      <w:pPr>
        <w:spacing w:before="0" w:after="80"/>
        <w:jc w:val="center"/>
      </w:pPr>
      <w:r>
        <w:rPr>
          <w:rFonts w:ascii="Arial" w:cs="Arial" w:eastAsia="Arial" w:hAnsi="Arial"/>
          <w:b/>
          <w:bCs/>
          <w:color w:val="000000"/>
          <w:sz w:val="32"/>
          <w:szCs w:val="32"/>
        </w:rPr>
        <w:t xml:space="preserve">Virtual Account Universal Life</w:t>
      </w:r>
    </w:p>
    <w:p>
      <w:pPr>
        <w:spacing w:before="80" w:after="80"/>
        <w:jc w:val="center"/>
      </w:pPr>
      <w:r>
        <w:rPr>
          <w:rFonts w:ascii="Arial" w:cs="Arial" w:eastAsia="Arial" w:hAnsi="Arial"/>
          <w:i/>
          <w:iCs/>
          <w:color w:val="444444"/>
          <w:sz w:val="24"/>
          <w:szCs w:val="24"/>
        </w:rPr>
        <w:t xml:space="preserve">ELIFE Universal Protection</w:t>
      </w:r>
    </w:p>
    <w:p>
      <w:r>
        <w:t xml:space="preserve"/>
      </w:r>
    </w:p>
    <w:p>
      <w:pPr>
        <w:spacing w:before="80" w:after="80"/>
        <w:jc w:val="center"/>
      </w:pPr>
      <w:r>
        <w:rPr>
          <w:rFonts w:ascii="Arial" w:cs="Arial" w:eastAsia="Arial" w:hAnsi="Arial"/>
          <w:b/>
          <w:bCs/>
          <w:color w:val="2E75B6"/>
          <w:sz w:val="22"/>
          <w:szCs w:val="22"/>
        </w:rPr>
        <w:t xml:space="preserve">── ISO 27001:2022 Compliant Version ──</w:t>
      </w:r>
    </w:p>
    <w:p>
      <w:r>
        <w:t xml:space="preserve"/>
      </w:r>
    </w:p>
    <w:p>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Versi</w:t>
            </w:r>
          </w:p>
        </w:tc>
        <w:tc>
          <w:tcPr>
            <w:tcW w:type="dxa" w:w="36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Tanggal</w:t>
            </w:r>
          </w:p>
        </w:tc>
        <w:tc>
          <w:tcPr>
            <w:tcW w:type="dxa" w:w="36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25 Maret 2026</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Status</w:t>
            </w:r>
          </w:p>
        </w:tc>
        <w:tc>
          <w:tcPr>
            <w:tcW w:type="dxa" w:w="36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Initial Draft</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Klasifikasi</w:t>
            </w:r>
          </w:p>
        </w:tc>
        <w:tc>
          <w:tcPr>
            <w:tcW w:type="dxa" w:w="3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CONFIDENTIAL</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Penulis</w:t>
            </w:r>
          </w:p>
        </w:tc>
        <w:tc>
          <w:tcPr>
            <w:tcW w:type="dxa" w:w="36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Andika Chrisna Justian – Business Analyst</w:t>
            </w:r>
          </w:p>
        </w:tc>
      </w:tr>
    </w:tbl>
    <w:p>
      <w:r>
        <w:t xml:space="preserve"/>
      </w:r>
    </w:p>
    <w:p>
      <w:r>
        <w:t xml:space="preserve"/>
      </w:r>
    </w:p>
    <w:p>
      <w:pPr>
        <w:jc w:val="center"/>
      </w:pPr>
      <w:r>
        <w:rPr>
          <w:rFonts w:ascii="Arial" w:cs="Arial" w:eastAsia="Arial" w:hAnsi="Arial"/>
          <w:b/>
          <w:bCs/>
          <w:color w:val="AA0000"/>
          <w:sz w:val="18"/>
          <w:szCs w:val="18"/>
        </w:rPr>
        <w:t xml:space="preserve">CONFIDENTIAL – Untuk Penggunaan Internal</w:t>
      </w:r>
    </w:p>
    <w:p>
      <w:r>
        <w:br w:type="page"/>
      </w:r>
    </w:p>
    <w:p>
      <w:pPr>
        <w:pStyle w:val="Heading1"/>
        <w:spacing w:before="360" w:after="120"/>
      </w:pPr>
      <w:r>
        <w:rPr>
          <w:rFonts w:ascii="Arial" w:cs="Arial" w:eastAsia="Arial" w:hAnsi="Arial"/>
          <w:b/>
          <w:bCs/>
          <w:color w:val="1F4E79"/>
          <w:sz w:val="32"/>
          <w:szCs w:val="32"/>
        </w:rPr>
        <w:t xml:space="preserve">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800"/>
        <w:gridCol w:w="3726"/>
      </w:tblGrid>
      <w:tr>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Versi</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Updated By</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Tanggal</w:t>
            </w:r>
          </w:p>
        </w:tc>
        <w:tc>
          <w:tcPr>
            <w:tcW w:type="dxa" w:w="37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Deskripsi</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Andika Chrisna Justian</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25 Maret 2026</w:t>
            </w:r>
          </w:p>
        </w:tc>
        <w:tc>
          <w:tcPr>
            <w:tcW w:type="dxa" w:w="37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Initial Draft</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1.1</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37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Penambahan seksi ISO 27001:2022</w:t>
            </w:r>
          </w:p>
        </w:tc>
      </w:tr>
    </w:tbl>
    <w:p>
      <w:r>
        <w:t xml:space="preserve"/>
      </w:r>
    </w:p>
    <w:p>
      <w:pPr>
        <w:pStyle w:val="Heading1"/>
        <w:spacing w:before="360" w:after="120"/>
      </w:pPr>
      <w:r>
        <w:rPr>
          <w:rFonts w:ascii="Arial" w:cs="Arial" w:eastAsia="Arial" w:hAnsi="Arial"/>
          <w:b/>
          <w:bCs/>
          <w:color w:val="1F4E79"/>
          <w:sz w:val="32"/>
          <w:szCs w:val="32"/>
        </w:rPr>
        <w:t xml:space="preserve">DOCUMENT CONTROL</w:t>
      </w:r>
    </w:p>
    <w:p>
      <w:pPr>
        <w:spacing w:before="180" w:after="60"/>
      </w:pPr>
      <w:r>
        <w:rPr>
          <w:rFonts w:ascii="Arial" w:cs="Arial" w:eastAsia="Arial" w:hAnsi="Arial"/>
          <w:b/>
          <w:bCs/>
          <w:color w:val="333333"/>
          <w:sz w:val="22"/>
          <w:szCs w:val="22"/>
        </w:rPr>
        <w:t xml:space="preserve">Author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2826"/>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Nama</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Departemen</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Tanggal</w:t>
            </w:r>
          </w:p>
        </w:tc>
        <w:tc>
          <w:tcPr>
            <w:tcW w:type="dxa" w:w="2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Catatan</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Andika Chrisna Justian</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Business Analyst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25 Maret 2026</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r>
    </w:tbl>
    <w:p>
      <w:r>
        <w:t xml:space="preserve"/>
      </w:r>
    </w:p>
    <w:p>
      <w:pPr>
        <w:spacing w:before="180" w:after="60"/>
      </w:pPr>
      <w:r>
        <w:rPr>
          <w:rFonts w:ascii="Arial" w:cs="Arial" w:eastAsia="Arial" w:hAnsi="Arial"/>
          <w:b/>
          <w:bCs/>
          <w:color w:val="333333"/>
          <w:sz w:val="22"/>
          <w:szCs w:val="22"/>
        </w:rPr>
        <w:t xml:space="preserve">Reviewed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2826"/>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Nama</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Departemen</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Tanggal</w:t>
            </w:r>
          </w:p>
        </w:tc>
        <w:tc>
          <w:tcPr>
            <w:tcW w:type="dxa" w:w="2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Catatan</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Brama Prasetyo Permana</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Apps Development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r>
    </w:tbl>
    <w:p>
      <w:r>
        <w:t xml:space="preserve"/>
      </w:r>
    </w:p>
    <w:p>
      <w:pPr>
        <w:spacing w:before="180" w:after="60"/>
      </w:pPr>
      <w:r>
        <w:rPr>
          <w:rFonts w:ascii="Arial" w:cs="Arial" w:eastAsia="Arial" w:hAnsi="Arial"/>
          <w:b/>
          <w:bCs/>
          <w:color w:val="333333"/>
          <w:sz w:val="22"/>
          <w:szCs w:val="22"/>
        </w:rPr>
        <w:t xml:space="preserve">Approved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2826"/>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Nama</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Departemen</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Tanggal</w:t>
            </w:r>
          </w:p>
        </w:tc>
        <w:tc>
          <w:tcPr>
            <w:tcW w:type="dxa" w:w="2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Catatan</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Agus Diana</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1. EXECUTIVE SUMMARY</w:t>
      </w:r>
    </w:p>
    <w:p>
      <w:pPr>
        <w:pStyle w:val="Heading2"/>
        <w:spacing w:before="240" w:after="80"/>
      </w:pPr>
      <w:r>
        <w:rPr>
          <w:rFonts w:ascii="Arial" w:cs="Arial" w:eastAsia="Arial" w:hAnsi="Arial"/>
          <w:b/>
          <w:bCs/>
          <w:color w:val="2E75B6"/>
          <w:sz w:val="24"/>
          <w:szCs w:val="24"/>
        </w:rPr>
        <w:t xml:space="preserve">1.1. Tujuan Dokumen</w:t>
      </w:r>
    </w:p>
    <w:p>
      <w:pPr>
        <w:spacing w:before="40" w:after="80"/>
      </w:pPr>
      <w:r>
        <w:rPr>
          <w:rFonts w:ascii="Arial" w:cs="Arial" w:eastAsia="Arial" w:hAnsi="Arial"/>
          <w:b w:val="false"/>
          <w:bCs w:val="false"/>
          <w:i w:val="false"/>
          <w:iCs w:val="false"/>
          <w:color w:val="000000"/>
          <w:sz w:val="20"/>
          <w:szCs w:val="20"/>
        </w:rPr>
        <w:t xml:space="preserve">Dokumen ini bertujuan untuk mendefinisikan persyaratan fungsional dan teknis secara detail mengenai implementasi metode pembayaran Virtual Account (BCA &amp; BRI) untuk produk Universal Life – ELIFE Universal Protection. BFRD ini akan menjadi acuan bagi tim IT Development (Core &amp; Digital) dalam melakukan pengembangan dan integrasi sistem, sekaligus memastikan bahwa seluruh aspek keamanan informasi sesuai dengan standar ISO/IEC 27001:2022.</w:t>
      </w:r>
    </w:p>
    <w:p>
      <w:r>
        <w:t xml:space="preserve"/>
      </w:r>
    </w:p>
    <w:p>
      <w:pPr>
        <w:pStyle w:val="Heading2"/>
        <w:spacing w:before="240" w:after="80"/>
      </w:pPr>
      <w:r>
        <w:rPr>
          <w:rFonts w:ascii="Arial" w:cs="Arial" w:eastAsia="Arial" w:hAnsi="Arial"/>
          <w:b/>
          <w:bCs/>
          <w:color w:val="2E75B6"/>
          <w:sz w:val="24"/>
          <w:szCs w:val="24"/>
        </w:rPr>
        <w:t xml:space="preserve">1.2. Business Context</w:t>
      </w:r>
    </w:p>
    <w:p>
      <w:pPr>
        <w:spacing w:before="40" w:after="80"/>
      </w:pPr>
      <w:r>
        <w:rPr>
          <w:rFonts w:ascii="Arial" w:cs="Arial" w:eastAsia="Arial" w:hAnsi="Arial"/>
          <w:b w:val="false"/>
          <w:bCs w:val="false"/>
          <w:i w:val="false"/>
          <w:iCs w:val="false"/>
          <w:color w:val="000000"/>
          <w:sz w:val="20"/>
          <w:szCs w:val="20"/>
        </w:rPr>
        <w:t xml:space="preserve">Equity Life Indonesia meluncurkan produk baru Universal Life – ELIFE Universal Protection untuk SBU Agency. Untuk mendukung proses penerbitan polis (policy issuance) yang cepat, diperlukan metode pembayaran yang mudah, real-time, dan terintegrasi otomatis dengan core system perusahaan.</w:t>
      </w:r>
    </w:p>
    <w:p>
      <w:r>
        <w:t xml:space="preserve"/>
      </w:r>
    </w:p>
    <w:p>
      <w:pPr>
        <w:pStyle w:val="Heading2"/>
        <w:spacing w:before="240" w:after="80"/>
      </w:pPr>
      <w:r>
        <w:rPr>
          <w:rFonts w:ascii="Arial" w:cs="Arial" w:eastAsia="Arial" w:hAnsi="Arial"/>
          <w:b/>
          <w:bCs/>
          <w:color w:val="2E75B6"/>
          <w:sz w:val="24"/>
          <w:szCs w:val="24"/>
        </w:rPr>
        <w:t xml:space="preserve">1.3. Tujuan Proyek</w:t>
      </w:r>
    </w:p>
    <w:p>
      <w:pPr>
        <w:spacing w:before="40" w:after="80"/>
      </w:pPr>
      <w:r>
        <w:rPr>
          <w:rFonts w:ascii="Arial" w:cs="Arial" w:eastAsia="Arial" w:hAnsi="Arial"/>
          <w:b w:val="false"/>
          <w:bCs w:val="false"/>
          <w:i w:val="false"/>
          <w:iCs w:val="false"/>
          <w:color w:val="000000"/>
          <w:sz w:val="20"/>
          <w:szCs w:val="20"/>
        </w:rPr>
        <w:t xml:space="preserve">• Mengimplementasikan fitur pembayaran premi melalui Virtual Account untuk transaksi New Business dan Renewal.</w:t>
      </w:r>
    </w:p>
    <w:p>
      <w:pPr>
        <w:spacing w:before="40" w:after="80"/>
      </w:pPr>
      <w:r>
        <w:rPr>
          <w:rFonts w:ascii="Arial" w:cs="Arial" w:eastAsia="Arial" w:hAnsi="Arial"/>
          <w:b w:val="false"/>
          <w:bCs w:val="false"/>
          <w:i w:val="false"/>
          <w:iCs w:val="false"/>
          <w:color w:val="000000"/>
          <w:sz w:val="20"/>
          <w:szCs w:val="20"/>
        </w:rPr>
        <w:t xml:space="preserve">• Memastikan data pembayaran terintegrasi secara otomatis dan real-time ke Core System (Precentia Life).</w:t>
      </w:r>
    </w:p>
    <w:p>
      <w:pPr>
        <w:spacing w:before="40" w:after="80"/>
      </w:pPr>
      <w:r>
        <w:rPr>
          <w:rFonts w:ascii="Arial" w:cs="Arial" w:eastAsia="Arial" w:hAnsi="Arial"/>
          <w:b w:val="false"/>
          <w:bCs w:val="false"/>
          <w:i w:val="false"/>
          <w:iCs w:val="false"/>
          <w:color w:val="000000"/>
          <w:sz w:val="20"/>
          <w:szCs w:val="20"/>
        </w:rPr>
        <w:t xml:space="preserve">• Mencapai target metrik akurasi dan ketepatan waktu input premi sebesar 100%.</w:t>
      </w:r>
    </w:p>
    <w:p>
      <w:pPr>
        <w:spacing w:before="40" w:after="80"/>
      </w:pPr>
      <w:r>
        <w:rPr>
          <w:rFonts w:ascii="Arial" w:cs="Arial" w:eastAsia="Arial" w:hAnsi="Arial"/>
          <w:b w:val="false"/>
          <w:bCs w:val="false"/>
          <w:i w:val="false"/>
          <w:iCs w:val="false"/>
          <w:color w:val="000000"/>
          <w:sz w:val="20"/>
          <w:szCs w:val="20"/>
        </w:rPr>
        <w:t xml:space="preserve">• Memastikan keamanan informasi sepanjang siklus hidup data transaksi sesuai ISO 27001:2022.</w:t>
      </w:r>
    </w:p>
    <w:p>
      <w:r>
        <w:t xml:space="preserve"/>
      </w:r>
    </w:p>
    <w:p>
      <w:r>
        <w:br w:type="page"/>
      </w:r>
    </w:p>
    <w:p>
      <w:pPr>
        <w:pStyle w:val="Heading1"/>
        <w:spacing w:before="360" w:after="120"/>
      </w:pPr>
      <w:r>
        <w:rPr>
          <w:rFonts w:ascii="Arial" w:cs="Arial" w:eastAsia="Arial" w:hAnsi="Arial"/>
          <w:b/>
          <w:bCs/>
          <w:color w:val="1F4E79"/>
          <w:sz w:val="32"/>
          <w:szCs w:val="32"/>
        </w:rPr>
        <w:t xml:space="preserve">2. PROJECT SCOPE</w:t>
      </w:r>
    </w:p>
    <w:p>
      <w:pPr>
        <w:pStyle w:val="Heading2"/>
        <w:spacing w:before="240" w:after="80"/>
      </w:pPr>
      <w:r>
        <w:rPr>
          <w:rFonts w:ascii="Arial" w:cs="Arial" w:eastAsia="Arial" w:hAnsi="Arial"/>
          <w:b/>
          <w:bCs/>
          <w:color w:val="2E75B6"/>
          <w:sz w:val="24"/>
          <w:szCs w:val="24"/>
        </w:rPr>
        <w:t xml:space="preserve">2.1. In-Scope</w:t>
      </w:r>
    </w:p>
    <w:p>
      <w:pPr>
        <w:spacing w:before="40" w:after="80"/>
      </w:pPr>
      <w:r>
        <w:rPr>
          <w:rFonts w:ascii="Arial" w:cs="Arial" w:eastAsia="Arial" w:hAnsi="Arial"/>
          <w:b w:val="false"/>
          <w:bCs w:val="false"/>
          <w:i w:val="false"/>
          <w:iCs w:val="false"/>
          <w:color w:val="000000"/>
          <w:sz w:val="20"/>
          <w:szCs w:val="20"/>
        </w:rPr>
        <w:t xml:space="preserve">• Koneksi antara dbpayment, sistem perbankan (BCA &amp; BRI), dan Core System (Precentia Life).</w:t>
      </w:r>
    </w:p>
    <w:p>
      <w:pPr>
        <w:spacing w:before="40" w:after="80"/>
      </w:pPr>
      <w:r>
        <w:rPr>
          <w:rFonts w:ascii="Arial" w:cs="Arial" w:eastAsia="Arial" w:hAnsi="Arial"/>
          <w:b w:val="false"/>
          <w:bCs w:val="false"/>
          <w:i w:val="false"/>
          <w:iCs w:val="false"/>
          <w:color w:val="000000"/>
          <w:sz w:val="20"/>
          <w:szCs w:val="20"/>
        </w:rPr>
        <w:t xml:space="preserve">• Generation nomor Virtual Account untuk nasabah baru (New Business) dan nasabah lama (Renewal).</w:t>
      </w:r>
    </w:p>
    <w:p>
      <w:pPr>
        <w:spacing w:before="40" w:after="80"/>
      </w:pPr>
      <w:r>
        <w:rPr>
          <w:rFonts w:ascii="Arial" w:cs="Arial" w:eastAsia="Arial" w:hAnsi="Arial"/>
          <w:b w:val="false"/>
          <w:bCs w:val="false"/>
          <w:i w:val="false"/>
          <w:iCs w:val="false"/>
          <w:color w:val="000000"/>
          <w:sz w:val="20"/>
          <w:szCs w:val="20"/>
        </w:rPr>
        <w:t xml:space="preserve">• Proses penyelesaian transaksi pembayaran secara otomatis di dalam sistem.</w:t>
      </w:r>
    </w:p>
    <w:p>
      <w:pPr>
        <w:spacing w:before="40" w:after="80"/>
      </w:pPr>
      <w:r>
        <w:rPr>
          <w:rFonts w:ascii="Arial" w:cs="Arial" w:eastAsia="Arial" w:hAnsi="Arial"/>
          <w:b w:val="false"/>
          <w:bCs w:val="false"/>
          <w:i w:val="false"/>
          <w:iCs w:val="false"/>
          <w:color w:val="000000"/>
          <w:sz w:val="20"/>
          <w:szCs w:val="20"/>
        </w:rPr>
        <w:t xml:space="preserve">• Pengaturan kode perusahaan (Company Code) dan nomor rekening koleksi untuk BCA dan BRI.</w:t>
      </w:r>
    </w:p>
    <w:p>
      <w:pPr>
        <w:spacing w:before="40" w:after="80"/>
      </w:pPr>
      <w:r>
        <w:rPr>
          <w:rFonts w:ascii="Arial" w:cs="Arial" w:eastAsia="Arial" w:hAnsi="Arial"/>
          <w:b w:val="false"/>
          <w:bCs w:val="false"/>
          <w:i w:val="false"/>
          <w:iCs w:val="false"/>
          <w:color w:val="000000"/>
          <w:sz w:val="20"/>
          <w:szCs w:val="20"/>
        </w:rPr>
        <w:t xml:space="preserve">• Implementasi kontrol keamanan informasi sesuai ISO 27001:2022 (akses, enkripsi, logging, monitoring).</w:t>
      </w:r>
    </w:p>
    <w:p>
      <w:r>
        <w:t xml:space="preserve"/>
      </w:r>
    </w:p>
    <w:p>
      <w:pPr>
        <w:pStyle w:val="Heading2"/>
        <w:spacing w:before="240" w:after="80"/>
      </w:pPr>
      <w:r>
        <w:rPr>
          <w:rFonts w:ascii="Arial" w:cs="Arial" w:eastAsia="Arial" w:hAnsi="Arial"/>
          <w:b/>
          <w:bCs/>
          <w:color w:val="2E75B6"/>
          <w:sz w:val="24"/>
          <w:szCs w:val="24"/>
        </w:rPr>
        <w:t xml:space="preserve">2.2. Out of Scope</w:t>
      </w:r>
    </w:p>
    <w:p>
      <w:pPr>
        <w:spacing w:before="40" w:after="80"/>
      </w:pPr>
      <w:r>
        <w:rPr>
          <w:rFonts w:ascii="Arial" w:cs="Arial" w:eastAsia="Arial" w:hAnsi="Arial"/>
          <w:b w:val="false"/>
          <w:bCs w:val="false"/>
          <w:i w:val="false"/>
          <w:iCs w:val="false"/>
          <w:color w:val="000000"/>
          <w:sz w:val="20"/>
          <w:szCs w:val="20"/>
        </w:rPr>
        <w:t xml:space="preserve">• Pengembangan produk asuransi Universal Life itu sendiri.</w:t>
      </w:r>
    </w:p>
    <w:p>
      <w:pPr>
        <w:spacing w:before="40" w:after="80"/>
      </w:pPr>
      <w:r>
        <w:rPr>
          <w:rFonts w:ascii="Arial" w:cs="Arial" w:eastAsia="Arial" w:hAnsi="Arial"/>
          <w:b w:val="false"/>
          <w:bCs w:val="false"/>
          <w:i w:val="false"/>
          <w:iCs w:val="false"/>
          <w:color w:val="000000"/>
          <w:sz w:val="20"/>
          <w:szCs w:val="20"/>
        </w:rPr>
        <w:t xml:space="preserve">• Metode pembayaran selain Virtual Account (Kartu Kredit, E-wallet).</w:t>
      </w:r>
    </w:p>
    <w:p>
      <w:pPr>
        <w:spacing w:before="40" w:after="80"/>
      </w:pPr>
      <w:r>
        <w:rPr>
          <w:rFonts w:ascii="Arial" w:cs="Arial" w:eastAsia="Arial" w:hAnsi="Arial"/>
          <w:b w:val="false"/>
          <w:bCs w:val="false"/>
          <w:i w:val="false"/>
          <w:iCs w:val="false"/>
          <w:color w:val="000000"/>
          <w:sz w:val="20"/>
          <w:szCs w:val="20"/>
        </w:rPr>
        <w:t xml:space="preserve">• Integrasi dengan bank selain BCA dan BRI.</w:t>
      </w:r>
    </w:p>
    <w:p>
      <w:pPr>
        <w:spacing w:before="40" w:after="80"/>
      </w:pPr>
      <w:r>
        <w:rPr>
          <w:rFonts w:ascii="Arial" w:cs="Arial" w:eastAsia="Arial" w:hAnsi="Arial"/>
          <w:b w:val="false"/>
          <w:bCs w:val="false"/>
          <w:i w:val="false"/>
          <w:iCs w:val="false"/>
          <w:color w:val="000000"/>
          <w:sz w:val="20"/>
          <w:szCs w:val="20"/>
        </w:rPr>
        <w:t xml:space="preserve">• Implementasi ISMS (Information Security Management System) secara enterprise-wide.</w:t>
      </w:r>
    </w:p>
    <w:p>
      <w:r>
        <w:t xml:space="preserve"/>
      </w:r>
    </w:p>
    <w:p>
      <w:pPr>
        <w:pStyle w:val="Heading2"/>
        <w:spacing w:before="240" w:after="80"/>
      </w:pPr>
      <w:r>
        <w:rPr>
          <w:rFonts w:ascii="Arial" w:cs="Arial" w:eastAsia="Arial" w:hAnsi="Arial"/>
          <w:b/>
          <w:bCs/>
          <w:color w:val="2E75B6"/>
          <w:sz w:val="24"/>
          <w:szCs w:val="24"/>
        </w:rPr>
        <w:t xml:space="preserve">2.3. Asumsi</w:t>
      </w:r>
    </w:p>
    <w:p>
      <w:pPr>
        <w:spacing w:before="40" w:after="80"/>
      </w:pPr>
      <w:r>
        <w:rPr>
          <w:rFonts w:ascii="Arial" w:cs="Arial" w:eastAsia="Arial" w:hAnsi="Arial"/>
          <w:b w:val="false"/>
          <w:bCs w:val="false"/>
          <w:i w:val="false"/>
          <w:iCs w:val="false"/>
          <w:color w:val="000000"/>
          <w:sz w:val="20"/>
          <w:szCs w:val="20"/>
        </w:rPr>
        <w:t xml:space="preserve">• Sistem Precentia Life sudah siap menerima payload data pembayaran dari dbpayment melalui API.</w:t>
      </w:r>
    </w:p>
    <w:p>
      <w:pPr>
        <w:spacing w:before="40" w:after="80"/>
      </w:pPr>
      <w:r>
        <w:rPr>
          <w:rFonts w:ascii="Arial" w:cs="Arial" w:eastAsia="Arial" w:hAnsi="Arial"/>
          <w:b w:val="false"/>
          <w:bCs w:val="false"/>
          <w:i w:val="false"/>
          <w:iCs w:val="false"/>
          <w:color w:val="000000"/>
          <w:sz w:val="20"/>
          <w:szCs w:val="20"/>
        </w:rPr>
        <w:t xml:space="preserve">• Pihak Bank (BCA &amp; BRI) memberikan akses API atau host-to-host untuk layanan Virtual Account.</w:t>
      </w:r>
    </w:p>
    <w:p>
      <w:pPr>
        <w:spacing w:before="40" w:after="80"/>
      </w:pPr>
      <w:r>
        <w:rPr>
          <w:rFonts w:ascii="Arial" w:cs="Arial" w:eastAsia="Arial" w:hAnsi="Arial"/>
          <w:b w:val="false"/>
          <w:bCs w:val="false"/>
          <w:i w:val="false"/>
          <w:iCs w:val="false"/>
          <w:color w:val="000000"/>
          <w:sz w:val="20"/>
          <w:szCs w:val="20"/>
        </w:rPr>
        <w:t xml:space="preserve">• Bisnis rules untuk New Business dan Renewal sudah divalidasi oleh departemen Finance.</w:t>
      </w:r>
    </w:p>
    <w:p>
      <w:pPr>
        <w:spacing w:before="40" w:after="80"/>
      </w:pPr>
      <w:r>
        <w:rPr>
          <w:rFonts w:ascii="Arial" w:cs="Arial" w:eastAsia="Arial" w:hAnsi="Arial"/>
          <w:b w:val="false"/>
          <w:bCs w:val="false"/>
          <w:i w:val="false"/>
          <w:iCs w:val="false"/>
          <w:color w:val="000000"/>
          <w:sz w:val="20"/>
          <w:szCs w:val="20"/>
        </w:rPr>
        <w:t xml:space="preserve">• Telah ada kebijakan keamanan informasi (Information Security Policy) perusahaan yang berlaku.</w:t>
      </w:r>
    </w:p>
    <w:p>
      <w:r>
        <w:t xml:space="preserve"/>
      </w:r>
    </w:p>
    <w:p>
      <w:pPr>
        <w:pStyle w:val="Heading2"/>
        <w:spacing w:before="240" w:after="80"/>
      </w:pPr>
      <w:r>
        <w:rPr>
          <w:rFonts w:ascii="Arial" w:cs="Arial" w:eastAsia="Arial" w:hAnsi="Arial"/>
          <w:b/>
          <w:bCs/>
          <w:color w:val="2E75B6"/>
          <w:sz w:val="24"/>
          <w:szCs w:val="24"/>
        </w:rPr>
        <w:t xml:space="preserve">2.4. Batasan (Constraints)</w:t>
      </w:r>
    </w:p>
    <w:p>
      <w:pPr>
        <w:spacing w:before="40" w:after="80"/>
      </w:pPr>
      <w:r>
        <w:rPr>
          <w:rFonts w:ascii="Arial" w:cs="Arial" w:eastAsia="Arial" w:hAnsi="Arial"/>
          <w:b w:val="false"/>
          <w:bCs w:val="false"/>
          <w:i w:val="false"/>
          <w:iCs w:val="false"/>
          <w:color w:val="000000"/>
          <w:sz w:val="20"/>
          <w:szCs w:val="20"/>
        </w:rPr>
        <w:t xml:space="preserve">• Proyek harus selesai dan stabil di lingkungan Production sebelum tanggal peluncuran produk (16 Maret 2026).</w:t>
      </w:r>
    </w:p>
    <w:p>
      <w:pPr>
        <w:spacing w:before="40" w:after="80"/>
      </w:pPr>
      <w:r>
        <w:rPr>
          <w:rFonts w:ascii="Arial" w:cs="Arial" w:eastAsia="Arial" w:hAnsi="Arial"/>
          <w:b w:val="false"/>
          <w:bCs w:val="false"/>
          <w:i w:val="false"/>
          <w:iCs w:val="false"/>
          <w:color w:val="000000"/>
          <w:sz w:val="20"/>
          <w:szCs w:val="20"/>
        </w:rPr>
        <w:t xml:space="preserve">• Harus mengikuti struktur database dan protokol keamanan yang berlaku pada sistem dbpayment dan Precentia Life.</w:t>
      </w:r>
    </w:p>
    <w:p>
      <w:pPr>
        <w:spacing w:before="40" w:after="80"/>
      </w:pPr>
      <w:r>
        <w:rPr>
          <w:rFonts w:ascii="Arial" w:cs="Arial" w:eastAsia="Arial" w:hAnsi="Arial"/>
          <w:b w:val="false"/>
          <w:bCs w:val="false"/>
          <w:i w:val="false"/>
          <w:iCs w:val="false"/>
          <w:color w:val="000000"/>
          <w:sz w:val="20"/>
          <w:szCs w:val="20"/>
        </w:rPr>
        <w:t xml:space="preserve">• Seluruh proses input dan settlement premi harus memiliki tingkat akurasi 100% tanpa toleransi kesalahan manual.</w:t>
      </w:r>
    </w:p>
    <w:p>
      <w:pPr>
        <w:spacing w:before="40" w:after="80"/>
      </w:pPr>
      <w:r>
        <w:rPr>
          <w:rFonts w:ascii="Arial" w:cs="Arial" w:eastAsia="Arial" w:hAnsi="Arial"/>
          <w:b w:val="false"/>
          <w:bCs w:val="false"/>
          <w:i w:val="false"/>
          <w:iCs w:val="false"/>
          <w:color w:val="000000"/>
          <w:sz w:val="20"/>
          <w:szCs w:val="20"/>
        </w:rPr>
        <w:t xml:space="preserve">• Seluruh aktivitas pengembangan harus mematuhi standar Secure SDLC yang ditetapkan oleh tim Information Security.</w:t>
      </w:r>
    </w:p>
    <w:p>
      <w:r>
        <w:t xml:space="preserve"/>
      </w:r>
    </w:p>
    <w:p>
      <w:r>
        <w:br w:type="page"/>
      </w:r>
    </w:p>
    <w:p>
      <w:pPr>
        <w:pStyle w:val="Heading1"/>
        <w:spacing w:before="360" w:after="120"/>
      </w:pPr>
      <w:r>
        <w:rPr>
          <w:rFonts w:ascii="Arial" w:cs="Arial" w:eastAsia="Arial" w:hAnsi="Arial"/>
          <w:b/>
          <w:bCs/>
          <w:color w:val="1F4E79"/>
          <w:sz w:val="32"/>
          <w:szCs w:val="32"/>
        </w:rPr>
        <w:t xml:space="preserve">3. BUSINESS PROCESS</w:t>
      </w:r>
    </w:p>
    <w:p>
      <w:pPr>
        <w:pStyle w:val="Heading2"/>
        <w:spacing w:before="240" w:after="80"/>
      </w:pPr>
      <w:r>
        <w:rPr>
          <w:rFonts w:ascii="Arial" w:cs="Arial" w:eastAsia="Arial" w:hAnsi="Arial"/>
          <w:b/>
          <w:bCs/>
          <w:color w:val="2E75B6"/>
          <w:sz w:val="24"/>
          <w:szCs w:val="24"/>
        </w:rPr>
        <w:t xml:space="preserve">3.1. Current Process (As-Is)</w:t>
      </w:r>
    </w:p>
    <w:p>
      <w:pPr>
        <w:spacing w:before="40" w:after="80"/>
      </w:pPr>
      <w:r>
        <w:rPr>
          <w:rFonts w:ascii="Arial" w:cs="Arial" w:eastAsia="Arial" w:hAnsi="Arial"/>
          <w:b w:val="false"/>
          <w:bCs w:val="false"/>
          <w:i w:val="false"/>
          <w:iCs w:val="false"/>
          <w:color w:val="000000"/>
          <w:sz w:val="20"/>
          <w:szCs w:val="20"/>
        </w:rPr>
        <w:t xml:space="preserve">Saat ini proses pembayaran premi masih melibatkan rekonsiliasi manual:</w:t>
      </w:r>
    </w:p>
    <w:p>
      <w:pPr>
        <w:spacing w:before="40" w:after="80"/>
      </w:pPr>
      <w:r>
        <w:rPr>
          <w:rFonts w:ascii="Arial" w:cs="Arial" w:eastAsia="Arial" w:hAnsi="Arial"/>
          <w:b w:val="false"/>
          <w:bCs w:val="false"/>
          <w:i w:val="false"/>
          <w:iCs w:val="false"/>
          <w:color w:val="000000"/>
          <w:sz w:val="20"/>
          <w:szCs w:val="20"/>
        </w:rPr>
        <w:t xml:space="preserve">1. Nasabah melakukan pembayaran melalui transfer bank.</w:t>
      </w:r>
    </w:p>
    <w:p>
      <w:pPr>
        <w:spacing w:before="40" w:after="80"/>
      </w:pPr>
      <w:r>
        <w:rPr>
          <w:rFonts w:ascii="Arial" w:cs="Arial" w:eastAsia="Arial" w:hAnsi="Arial"/>
          <w:b w:val="false"/>
          <w:bCs w:val="false"/>
          <w:i w:val="false"/>
          <w:iCs w:val="false"/>
          <w:color w:val="000000"/>
          <w:sz w:val="20"/>
          <w:szCs w:val="20"/>
        </w:rPr>
        <w:t xml:space="preserve">2. Tim Finance/AR melakukan pengecekan mutasi bank secara berkala.</w:t>
      </w:r>
    </w:p>
    <w:p>
      <w:pPr>
        <w:spacing w:before="40" w:after="80"/>
      </w:pPr>
      <w:r>
        <w:rPr>
          <w:rFonts w:ascii="Arial" w:cs="Arial" w:eastAsia="Arial" w:hAnsi="Arial"/>
          <w:b w:val="false"/>
          <w:bCs w:val="false"/>
          <w:i w:val="false"/>
          <w:iCs w:val="false"/>
          <w:color w:val="000000"/>
          <w:sz w:val="20"/>
          <w:szCs w:val="20"/>
        </w:rPr>
        <w:t xml:space="preserve">3. Tim Finance mencocokkan data mutasi dengan nomor SPAJ atau nomor polis nasabah.</w:t>
      </w:r>
    </w:p>
    <w:p>
      <w:pPr>
        <w:spacing w:before="40" w:after="80"/>
      </w:pPr>
      <w:r>
        <w:rPr>
          <w:rFonts w:ascii="Arial" w:cs="Arial" w:eastAsia="Arial" w:hAnsi="Arial"/>
          <w:b w:val="false"/>
          <w:bCs w:val="false"/>
          <w:i w:val="false"/>
          <w:iCs w:val="false"/>
          <w:color w:val="000000"/>
          <w:sz w:val="20"/>
          <w:szCs w:val="20"/>
        </w:rPr>
        <w:t xml:space="preserve">4. Setelah teridentifikasi, data pembayaran diinput secara manual ke Precentia Life.</w:t>
      </w:r>
    </w:p>
    <w:p>
      <w:pPr>
        <w:spacing w:before="40" w:after="80"/>
      </w:pPr>
      <w:r>
        <w:rPr>
          <w:rFonts w:ascii="Arial" w:cs="Arial" w:eastAsia="Arial" w:hAnsi="Arial"/>
          <w:b w:val="false"/>
          <w:bCs w:val="false"/>
          <w:i w:val="false"/>
          <w:iCs w:val="false"/>
          <w:color w:val="000000"/>
          <w:sz w:val="20"/>
          <w:szCs w:val="20"/>
        </w:rPr>
        <w:t xml:space="preserve">5. Proses settlement menunggu antrian input manual, berisiko pada ketidaktercapaian KPI on-time premium.</w:t>
      </w:r>
    </w:p>
    <w:p>
      <w:r>
        <w:t xml:space="preserve"/>
      </w:r>
    </w:p>
    <w:p>
      <w:pPr>
        <w:pStyle w:val="Heading2"/>
        <w:spacing w:before="240" w:after="80"/>
      </w:pPr>
      <w:r>
        <w:rPr>
          <w:rFonts w:ascii="Arial" w:cs="Arial" w:eastAsia="Arial" w:hAnsi="Arial"/>
          <w:b/>
          <w:bCs/>
          <w:color w:val="2E75B6"/>
          <w:sz w:val="24"/>
          <w:szCs w:val="24"/>
        </w:rPr>
        <w:t xml:space="preserve">3.2. To-Be Process</w:t>
      </w:r>
    </w:p>
    <w:p>
      <w:pPr>
        <w:spacing w:before="40" w:after="80"/>
      </w:pPr>
      <w:r>
        <w:rPr>
          <w:rFonts w:ascii="Arial" w:cs="Arial" w:eastAsia="Arial" w:hAnsi="Arial"/>
          <w:b w:val="false"/>
          <w:bCs w:val="false"/>
          <w:i w:val="false"/>
          <w:iCs w:val="false"/>
          <w:color w:val="000000"/>
          <w:sz w:val="20"/>
          <w:szCs w:val="20"/>
        </w:rPr>
        <w:t xml:space="preserve">Proses baru mengandalkan integrasi host-to-host antara sistem perbankan, platform pembayaran internal (dbpayment), dan Core System (Precentia Life):</w:t>
      </w:r>
    </w:p>
    <w:p>
      <w:pPr>
        <w:spacing w:before="40" w:after="80"/>
      </w:pPr>
      <w:r>
        <w:rPr>
          <w:rFonts w:ascii="Arial" w:cs="Arial" w:eastAsia="Arial" w:hAnsi="Arial"/>
          <w:b w:val="false"/>
          <w:bCs w:val="false"/>
          <w:i w:val="false"/>
          <w:iCs w:val="false"/>
          <w:color w:val="000000"/>
          <w:sz w:val="20"/>
          <w:szCs w:val="20"/>
        </w:rPr>
        <w:t xml:space="preserve">1. Saat nasabah melakukan pengajuan (New Business) atau masuk masa jatuh tempo (Renewal), sistem secara otomatis menghasilkan nomor VA unik melalui integrasi API ke Bank BCA atau BRI.</w:t>
      </w:r>
    </w:p>
    <w:p>
      <w:pPr>
        <w:spacing w:before="40" w:after="80"/>
      </w:pPr>
      <w:r>
        <w:rPr>
          <w:rFonts w:ascii="Arial" w:cs="Arial" w:eastAsia="Arial" w:hAnsi="Arial"/>
          <w:b w:val="false"/>
          <w:bCs w:val="false"/>
          <w:i w:val="false"/>
          <w:iCs w:val="false"/>
          <w:color w:val="000000"/>
          <w:sz w:val="20"/>
          <w:szCs w:val="20"/>
        </w:rPr>
        <w:t xml:space="preserve">2. Nasabah membayar menggunakan nomor VA melalui ATM, M-Banking, atau Internet Banking.</w:t>
      </w:r>
    </w:p>
    <w:p>
      <w:pPr>
        <w:spacing w:before="40" w:after="80"/>
      </w:pPr>
      <w:r>
        <w:rPr>
          <w:rFonts w:ascii="Arial" w:cs="Arial" w:eastAsia="Arial" w:hAnsi="Arial"/>
          <w:b w:val="false"/>
          <w:bCs w:val="false"/>
          <w:i w:val="false"/>
          <w:iCs w:val="false"/>
          <w:color w:val="000000"/>
          <w:sz w:val="20"/>
          <w:szCs w:val="20"/>
        </w:rPr>
        <w:t xml:space="preserve">3. Bank mengirimkan notifikasi sukses pembayaran secara real-time ke sistem dbpayment.</w:t>
      </w:r>
    </w:p>
    <w:p>
      <w:pPr>
        <w:spacing w:before="40" w:after="80"/>
      </w:pPr>
      <w:r>
        <w:rPr>
          <w:rFonts w:ascii="Arial" w:cs="Arial" w:eastAsia="Arial" w:hAnsi="Arial"/>
          <w:b w:val="false"/>
          <w:bCs w:val="false"/>
          <w:i w:val="false"/>
          <w:iCs w:val="false"/>
          <w:color w:val="000000"/>
          <w:sz w:val="20"/>
          <w:szCs w:val="20"/>
        </w:rPr>
        <w:t xml:space="preserve">4. Sistem dbpayment meneruskan data transaksi ke Core System (Precentia Life).</w:t>
      </w:r>
    </w:p>
    <w:p>
      <w:pPr>
        <w:spacing w:before="40" w:after="80"/>
      </w:pPr>
      <w:r>
        <w:rPr>
          <w:rFonts w:ascii="Arial" w:cs="Arial" w:eastAsia="Arial" w:hAnsi="Arial"/>
          <w:b w:val="false"/>
          <w:bCs w:val="false"/>
          <w:i w:val="false"/>
          <w:iCs w:val="false"/>
          <w:color w:val="000000"/>
          <w:sz w:val="20"/>
          <w:szCs w:val="20"/>
        </w:rPr>
        <w:t xml:space="preserve">5. Automated Settlement: validasi nominal, update status 'Paid', Policy Issuance terpicu otomatis.</w:t>
      </w:r>
    </w:p>
    <w:p>
      <w:pPr>
        <w:spacing w:before="40" w:after="80"/>
      </w:pPr>
      <w:r>
        <w:rPr>
          <w:rFonts w:ascii="Arial" w:cs="Arial" w:eastAsia="Arial" w:hAnsi="Arial"/>
          <w:b w:val="false"/>
          <w:bCs w:val="false"/>
          <w:i w:val="false"/>
          <w:iCs w:val="false"/>
          <w:color w:val="000000"/>
          <w:sz w:val="20"/>
          <w:szCs w:val="20"/>
        </w:rPr>
        <w:t xml:space="preserve">6. Sistem menghasilkan laporan rekonsiliasi otomatis untuk tim Finance.</w:t>
      </w:r>
    </w:p>
    <w:p>
      <w:r>
        <w:t xml:space="preserve"/>
      </w:r>
    </w:p>
    <w:p>
      <w:r>
        <w:br w:type="page"/>
      </w:r>
    </w:p>
    <w:p>
      <w:pPr>
        <w:pStyle w:val="Heading1"/>
        <w:spacing w:before="360" w:after="120"/>
      </w:pPr>
      <w:r>
        <w:rPr>
          <w:rFonts w:ascii="Arial" w:cs="Arial" w:eastAsia="Arial" w:hAnsi="Arial"/>
          <w:b/>
          <w:bCs/>
          <w:color w:val="1F4E79"/>
          <w:sz w:val="32"/>
          <w:szCs w:val="32"/>
        </w:rPr>
        <w:t xml:space="preserve">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900"/>
        <w:gridCol w:w="1800"/>
        <w:gridCol w:w="900"/>
        <w:gridCol w:w="1226"/>
      </w:tblGrid>
      <w:tr>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w:t>
            </w:r>
          </w:p>
        </w:tc>
        <w:tc>
          <w:tcPr>
            <w:tcW w:type="dxa" w:w="23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Deskripsi Requirement</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Source</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Acceptance Criteria</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Priority</w:t>
            </w:r>
          </w:p>
        </w:tc>
        <w:tc>
          <w:tcPr>
            <w:tcW w:type="dxa" w:w="12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UI/UX</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FR-01</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men-generate nomor VA unik untuk setiap polis produk ELIFE Universal Protection berdasarkan kategori produk (ULILP).</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Nomor VA terbentuk sesuai Company Code bank (BCA: 13061/00316 atau BRI: 13000/12999) dan parameter produk.</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Menampilkan nomor VA secara jelas pada layar konfirmasi pembayaran.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FR-02</w:t>
            </w:r>
          </w:p>
        </w:tc>
        <w:tc>
          <w:tcPr>
            <w:tcW w:type="dxa" w:w="2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membedakan pembuatan VA untuk premi pertama (New Business) dan premi lanjutan (Renewal).</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Terdapat pemisahan identifikasi transaksi antara NB dan RN di database dbpayment.</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Dropdown atau toggle pemilihan jenis pembayaran (NB/RN) jika diakses internal.</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FR-03</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Integrasi API antara dbpayment, sistem Bank, dan Core System (Precentia Life) untuk pengiriman data transaksi.</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pembayaran terkirim dan diterima oleh Core System segera setelah nasabah melakukan bayar.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Indikator status koneksi API (berhasil/gagal) pada log sistem.</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FR-04</w:t>
            </w:r>
          </w:p>
        </w:tc>
        <w:tc>
          <w:tcPr>
            <w:tcW w:type="dxa" w:w="2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melakukan matching dan settlement otomatis atas dana yang masuk melalui VA.</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BR-04</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Status polis di Core System berubah menjadi 'Inforce' atau 'Paid' secara otomatis tanpa intervensi manual.</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Notifikasi sukses pembayaran muncul di dashboard nasabah/agen.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FR-05</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Konfigurasi rekening penampung sesuai dengan tabel bank (BCA &amp; BRI) dan kategori produk ULILP.</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Transaksi masuk ke rekening koleksi yang tepat sesuai kode perusahaan yang terdaftar.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w:t>
            </w:r>
          </w:p>
        </w:tc>
        <w:tc>
          <w:tcPr>
            <w:tcW w:type="dxa" w:w="1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Tabel ringkasan transaksi per bank untuk kebutuhan rekonsiliasi Finance.</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FR-06</w:t>
            </w:r>
          </w:p>
        </w:tc>
        <w:tc>
          <w:tcPr>
            <w:tcW w:type="dxa" w:w="2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memvalidasi data transaksi agar tidak terjadi Major Bug atau kegagalan settlement.</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BR-06</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Pesan error yang informatif muncul jika koneksi bank terputus atau nomor VA tidak ditemukan.</w:t>
            </w:r>
          </w:p>
        </w:tc>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c>
          <w:tcPr>
            <w:tcW w:type="dxa" w:w="12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Pesan pop-up standar jika terjadi kegagalan transaksi.</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800"/>
        <w:gridCol w:w="2826"/>
      </w:tblGrid>
      <w:tr>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Kategori</w:t>
            </w:r>
          </w:p>
        </w:tc>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2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Pengukuran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Availability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dbpayment dan integrasi API harus tersedia selama jam operasional bank dan kanal pembayaran.</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Uptime sistem minimum 99,9% per bulan.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NFR-02</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Performance</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Proses generation nomor VA dan notifikasi pembayaran harus diproses secara real-time.</w:t>
            </w:r>
          </w:p>
        </w:tc>
        <w:tc>
          <w:tcPr>
            <w:tcW w:type="dxa" w:w="28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Response time API maksimal &lt; 3 detik per transaksi.</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Security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Pertukaran data antara dbpayment, Bank (BCA/BRI), dan Core System harus terenkripsi.</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Penggunaan protokol HTTPS/TLS 1.2+ dan mekanisme API Key atau Token-based authentication.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NFR-04</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Integrity</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Seluruh data transaksi premi harus akurat dan sinkron antara bank dan Core System.</w:t>
            </w:r>
          </w:p>
        </w:tc>
        <w:tc>
          <w:tcPr>
            <w:tcW w:type="dxa" w:w="28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Target 100% Accurate and On-time input premium (Zero discrepancy).</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Reliability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mampu menangani kegagalan koneksi API tanpa menyebabkan kehilangan data transaksi.</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Adanya mekanisme auto-retry atau error log untuk transaksi yang gagal terkirim ke Core System.</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NFR-06</w:t>
            </w:r>
          </w:p>
        </w:tc>
        <w:tc>
          <w:tcPr>
            <w:tcW w:type="dxa" w:w="1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Scalability</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mampu menangani lonjakan transaksi saat peluncuran produk baru.</w:t>
            </w:r>
          </w:p>
        </w:tc>
        <w:tc>
          <w:tcPr>
            <w:tcW w:type="dxa" w:w="28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Mampu menangani hingga 100 transaksi konkuren tanpa penurunan performa.</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NFR-07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Auditability</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Setiap transaksi pembayaran melalui VA harus tercatat dalam sistem untuk keperluan audit Finance.</w:t>
            </w:r>
          </w:p>
        </w:tc>
        <w:tc>
          <w:tcPr>
            <w:tcW w:type="dxa" w:w="2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Tersedianya Audit Trail yang mencatat waktu transaksi, nomor VA, nominal, dan status settlement.</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6. INFORMATION SECURITY REQUIREMENTS (ISO 27001:2022)</w:t>
      </w:r>
    </w:p>
    <w:p>
      <w:pPr>
        <w:spacing w:before="40" w:after="80"/>
      </w:pPr>
      <w:r>
        <w:rPr>
          <w:rFonts w:ascii="Arial" w:cs="Arial" w:eastAsia="Arial" w:hAnsi="Arial"/>
          <w:b w:val="false"/>
          <w:bCs w:val="false"/>
          <w:i/>
          <w:iCs/>
          <w:color w:val="000000"/>
          <w:sz w:val="20"/>
          <w:szCs w:val="20"/>
        </w:rPr>
        <w:t xml:space="preserve">Seksi ini mendefinisikan persyaratan keamanan informasi yang wajib dipenuhi dalam implementasi sistem Virtual Account, sesuai dengan standar ISO/IEC 27001:2022. Setiap kontrol dilengkapi dengan referensi klausul ISO 27001:2022, deskripsi requirement, dan status implementasi.</w:t>
      </w:r>
    </w:p>
    <w:p>
      <w:r>
        <w:t xml:space="preserve"/>
      </w:r>
    </w:p>
    <w:p>
      <w:pPr>
        <w:spacing w:before="40" w:after="80"/>
      </w:pPr>
      <w:r>
        <w:rPr>
          <w:rFonts w:ascii="Arial" w:cs="Arial" w:eastAsia="Arial" w:hAnsi="Arial"/>
          <w:b/>
          <w:bCs/>
          <w:i w:val="false"/>
          <w:iCs w:val="false"/>
          <w:color w:val="000000"/>
          <w:sz w:val="20"/>
          <w:szCs w:val="20"/>
        </w:rPr>
        <w:t xml:space="preserve">Legenda Status:</w:t>
      </w:r>
    </w:p>
    <w:p>
      <w:pPr>
        <w:spacing w:before="40" w:after="80"/>
      </w:pPr>
      <w:r>
        <w:rPr>
          <w:rFonts w:ascii="Arial" w:cs="Arial" w:eastAsia="Arial" w:hAnsi="Arial"/>
          <w:b w:val="false"/>
          <w:bCs w:val="false"/>
          <w:i w:val="false"/>
          <w:iCs w:val="false"/>
          <w:color w:val="CC0000"/>
          <w:sz w:val="20"/>
          <w:szCs w:val="20"/>
        </w:rPr>
        <w:t xml:space="preserve">• WAJIB DITERAPKAN: Gap baru yang harus diimplementasikan sebelum go-live</w:t>
      </w:r>
    </w:p>
    <w:p>
      <w:pPr>
        <w:spacing w:before="40" w:after="80"/>
      </w:pPr>
      <w:r>
        <w:rPr>
          <w:rFonts w:ascii="Arial" w:cs="Arial" w:eastAsia="Arial" w:hAnsi="Arial"/>
          <w:b w:val="false"/>
          <w:bCs w:val="false"/>
          <w:i w:val="false"/>
          <w:iCs w:val="false"/>
          <w:color w:val="7F6000"/>
          <w:sz w:val="20"/>
          <w:szCs w:val="20"/>
        </w:rPr>
        <w:t xml:space="preserve">• SEBAGIAN TERPENUHI: Sudah ada referensi, perlu diperkuat dan diformalkan</w:t>
      </w:r>
    </w:p>
    <w:p>
      <w:pPr>
        <w:spacing w:before="40" w:after="80"/>
      </w:pPr>
      <w:r>
        <w:rPr>
          <w:rFonts w:ascii="Arial" w:cs="Arial" w:eastAsia="Arial" w:hAnsi="Arial"/>
          <w:b w:val="false"/>
          <w:bCs w:val="false"/>
          <w:i w:val="false"/>
          <w:iCs w:val="false"/>
          <w:color w:val="2E75B6"/>
          <w:sz w:val="20"/>
          <w:szCs w:val="20"/>
        </w:rPr>
        <w:t xml:space="preserve">• REQUIRED: Perlu koordinasi/lampiran tambahan</w:t>
      </w:r>
    </w:p>
    <w:p>
      <w:r>
        <w:t xml:space="preserve"/>
      </w:r>
    </w:p>
    <w:p>
      <w:pPr>
        <w:pStyle w:val="Heading2"/>
        <w:spacing w:before="240" w:after="80"/>
      </w:pPr>
      <w:r>
        <w:rPr>
          <w:rFonts w:ascii="Arial" w:cs="Arial" w:eastAsia="Arial" w:hAnsi="Arial"/>
          <w:b/>
          <w:bCs/>
          <w:color w:val="2E75B6"/>
          <w:sz w:val="24"/>
          <w:szCs w:val="24"/>
        </w:rPr>
        <w:t xml:space="preserve">6.1. Kebijakan &amp; Klasifikasi Informasi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IS-POL-01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A.5.1 – Information Security Policies</w:t>
            </w:r>
          </w:p>
        </w:tc>
        <w:tc>
          <w:tcPr>
            <w:tcW w:type="dxa" w:w="4326"/>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Dokumen ini harus mengacu pada Information Security Policy perusahaan yang telah disetujui manajemen. Policy tersebut harus di-review minimal setahun sekali atau setiap ada perubahan signifikan pada sistem.</w:t>
            </w:r>
          </w:p>
        </w:tc>
        <w:tc>
          <w:tcPr>
            <w:tcW w:type="dxa" w:w="17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REQUIRED – Lampirkan referensi policy</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IS-POL-02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A.5.36 – Data Classification</w:t>
            </w:r>
          </w:p>
        </w:tc>
        <w:tc>
          <w:tcPr>
            <w:tcW w:type="dxa" w:w="4326"/>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yang diproses dalam sistem ini diklasifikasikan sebagai berikut:
• CONFIDENTIAL: Nomor polis, nominal premi, data nasabah (PII)
• INTERNAL: Log transaksi, Company Code, konfigurasi bank
• PUBLIC: Nomor VA yang diberikan ke nasabah untuk pembayaran</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bl>
    <w:p>
      <w:r>
        <w:t xml:space="preserve"/>
      </w:r>
    </w:p>
    <w:p>
      <w:pPr>
        <w:pStyle w:val="Heading2"/>
        <w:spacing w:before="240" w:after="80"/>
      </w:pPr>
      <w:r>
        <w:rPr>
          <w:rFonts w:ascii="Arial" w:cs="Arial" w:eastAsia="Arial" w:hAnsi="Arial"/>
          <w:b/>
          <w:bCs/>
          <w:color w:val="2E75B6"/>
          <w:sz w:val="24"/>
          <w:szCs w:val="24"/>
        </w:rPr>
        <w:t xml:space="preserve">6.2. Kontrol Akses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A.5.15 – Access Control Policy</w:t>
            </w:r>
          </w:p>
        </w:tc>
        <w:tc>
          <w:tcPr>
            <w:tcW w:type="dxa" w:w="4326"/>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menerapkan Role-Based Access Control (RBAC) dengan prinsip Least Privilege. Pembagian peran:
• ADMIN: Full access konfigurasi VA &amp; bank
• FINANCE: Read-only laporan rekonsiliasi &amp; settlement
• AGENT: Generate VA &amp; lihat status pembayaran polis sendiri
• SYSTEM: Akses API-to-API antar sistem (dbpayment ↔ Bank ↔ Core)</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 – Privileged Access Rights</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Akses admin ke konfigurasi Company Code dan nomor rekening koleksi harus melalui mekanisme 4-eyes principle (dual approval). Setiap perubahan konfigurasi harus dicatat dalam change log yang tidak dapat dimodifikasi.</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A.8.5 – Secure Authentication</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Autentikasi untuk pengguna internal sistem harus memenuhi:
• Multi-Factor Authentication (MFA) wajib untuk ADMIN dan FINANCE
• Password policy: minimal 12 karakter, kombinasi huruf besar/kecil/angka/simbol, rotasi setiap 90 hari
• Session timeout: 15 menit idle untuk portal web
• Lockout: akun dikunci setelah 5 kali gagal login</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IS-AC-04</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A.5.18 – Access Rights</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Hak akses harus di-review setiap 3 bulan (Quarterly Access Review). Akun karyawan yang berhenti bekerja harus dinonaktifkan dalam 24 jam setelah off-boarding.</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bl>
    <w:p>
      <w:r>
        <w:t xml:space="preserve"/>
      </w:r>
    </w:p>
    <w:p>
      <w:pPr>
        <w:pStyle w:val="Heading2"/>
        <w:spacing w:before="240" w:after="80"/>
      </w:pPr>
      <w:r>
        <w:rPr>
          <w:rFonts w:ascii="Arial" w:cs="Arial" w:eastAsia="Arial" w:hAnsi="Arial"/>
          <w:b/>
          <w:bCs/>
          <w:color w:val="2E75B6"/>
          <w:sz w:val="24"/>
          <w:szCs w:val="24"/>
        </w:rPr>
        <w:t xml:space="preserve">6.3. Kriptografi &amp; Perlindungan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IS-CR-01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A.8.24 – Use of Cryptography</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Semua komunikasi antar sistem harus menggunakan:
• TLS 1.2 sebagai minimum; direkomendasikan TLS 1.3
• Sertifikat SSL/TLS dari Certificate Authority (CA) yang terpercaya
• Cipher suite yang aman: AES-256, ECDHE untuk key exchange
• Dilarang menggunakan SSL 3.0, TLS 1.0, TLS 1.1, RC4, DES, 3DES</w:t>
            </w:r>
          </w:p>
        </w:tc>
        <w:tc>
          <w:tcPr>
            <w:tcW w:type="dxa" w:w="17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SEBAGIAN TERPENUHI – NFR-03 sudah menyebut TLS 1.2, perlu diperluas</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IS-CR-02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A.8.24 – Key Management</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 Key dan Secret Key untuk autentikasi ke bank (BCA/BRI) harus:
• Disimpan di Secrets Manager atau Vault (bukan hardcoded di kode sumber)
• Dirotasi minimal setiap 6 bulan atau segera setelah dicurigai bocor
• Dienkripsi at-rest menggunakan AES-256
• Tidak boleh muncul dalam log sistem</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IS-CR-03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A.8.11 – Data Masking</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PII nasabah (nama, nomor polis, nominal premi) harus di-mask pada log sistem dan UI developer. Hanya tampilkan data penuh kepada pengguna dengan hak akses yang sesuai.</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bl>
    <w:p>
      <w:r>
        <w:t xml:space="preserve"/>
      </w:r>
    </w:p>
    <w:p>
      <w:pPr>
        <w:pStyle w:val="Heading2"/>
        <w:spacing w:before="240" w:after="80"/>
      </w:pPr>
      <w:r>
        <w:rPr>
          <w:rFonts w:ascii="Arial" w:cs="Arial" w:eastAsia="Arial" w:hAnsi="Arial"/>
          <w:b/>
          <w:bCs/>
          <w:color w:val="2E75B6"/>
          <w:sz w:val="24"/>
          <w:szCs w:val="24"/>
        </w:rPr>
        <w:t xml:space="preserve">6.4. Secure Development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IS-SD-01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A.8.25 – Secure Development Lifecycle</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Pengembangan sistem VA harus mengikuti Secure SDLC:
• Threat Modeling wajib dilakukan sebelum coding dimulai
• Code Review wajib dilakukan oleh peer sebelum merge ke branch utama
• Static Application Security Testing (SAST) dijalankan pada setiap build
• Pengujian OWASP Top 10 wajib dilakukan sebelum UAT</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IS-SD-02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A.8.29 – Security Testing</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 ke Production, wajib dilakukan:
• Vulnerability Assessment terhadap endpoint API VA
• Penetration Testing pada komponen integrasi bank
• Security Integration Testing (SIT) end-to-end
• Review hasil testing oleh Tim Information Security</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IS-SD-03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A.8.8 – Management of Technical Vulnerabilities</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Semua library dan dependency yang digunakan harus:
• Di-scan secara berkala menggunakan Software Composition Analysis (SCA)
• Mendapatkan patch keamanan dalam 30 hari setelah CVE kritis dirilis
• Tidak menggunakan versi yang sudah End-of-Life (EOL)</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bl>
    <w:p>
      <w:r>
        <w:t xml:space="preserve"/>
      </w:r>
    </w:p>
    <w:p>
      <w:pPr>
        <w:pStyle w:val="Heading2"/>
        <w:spacing w:before="240" w:after="80"/>
      </w:pPr>
      <w:r>
        <w:rPr>
          <w:rFonts w:ascii="Arial" w:cs="Arial" w:eastAsia="Arial" w:hAnsi="Arial"/>
          <w:b/>
          <w:bCs/>
          <w:color w:val="2E75B6"/>
          <w:sz w:val="24"/>
          <w:szCs w:val="24"/>
        </w:rPr>
        <w:t xml:space="preserve">6.5. Logging &amp;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IS-LG-01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A.8.15 – Logging</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mencatat audit log untuk setiap event berikut:
• Generate VA: user/sistem, timestamp, nomor polis, bank dipilih
• Payment Inquiry: timestamp, nomor VA, IP source bank
• Payment Success/Failed: timestamp, nomor VA, nominal, referensi bank
• Settlement ke Core: timestamp, status, nomor polis, respons Core
• Login/Logout user internal: user ID, IP address, timestamp
• Perubahan konfigurasi: user, field yang diubah, nilai lama, nilai baru
Log harus bersifat immutable dan disimpan minimal 3 tahun.</w:t>
            </w:r>
          </w:p>
        </w:tc>
        <w:tc>
          <w:tcPr>
            <w:tcW w:type="dxa" w:w="17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SEBAGIAN TERPENUHI – NFR-07 sudah ada, perlu diperlengkap</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IS-LG-02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A.8.16 – Monitoring Activities</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Security Monitoring &amp; Alerting harus mencakup:
• Alert otomatis jika terjadi &gt; 10 kegagalan payment dalam 5 menit (anomali)
• Alert jika ada akses ke endpoint VA dari IP di luar whitelist
• Alert jika signature callback bank tidak valid (potensi spoofing)
• Alert jika ada percobaan login gagal berulang (brute force)
• Dashboard real-time ketersediaan API (uptime monitoring)</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 – Perlu ditambahkan</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IS-LG-03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A.8.17 – Clock Synchronization</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Semua sistem yang terlibat (dbpayment, Core System, server bank gateway) harus disinkronkan menggunakan NTP (Network Time Protocol) ke sumber waktu yang sama. Toleransi perbedaan waktu antar sistem maksimal 30 detik untuk menjamin integritas timestamp audit log.</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DITERAPKAN</w:t>
            </w:r>
          </w:p>
        </w:tc>
      </w:tr>
    </w:tbl>
    <w:p>
      <w:r>
        <w:t xml:space="preserve"/>
      </w:r>
    </w:p>
    <w:p>
      <w:pPr>
        <w:pStyle w:val="Heading2"/>
        <w:spacing w:before="240" w:after="80"/>
      </w:pPr>
      <w:r>
        <w:rPr>
          <w:rFonts w:ascii="Arial" w:cs="Arial" w:eastAsia="Arial" w:hAnsi="Arial"/>
          <w:b/>
          <w:bCs/>
          <w:color w:val="2E75B6"/>
          <w:sz w:val="24"/>
          <w:szCs w:val="24"/>
        </w:rPr>
        <w:t xml:space="preserve">6.6. Manajemen Insiden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IS-IR-01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A.5.24 – Incident Management Planning</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Harus tersedia Security Incident Response Plan (SIRP) yang mendefinisikan:
• Klasifikasi insiden: P1 (Kritis), P2 (Tinggi), P3 (Sedang), P4 (Rendah)
• SLA respons: P1 &lt; 1 jam, P2 &lt; 4 jam, P3 &lt; 24 jam
• Runbook untuk skenario: kebocoran data nasabah, fraud transaksi VA, gangguan API bank
• Eskalasi ke tim InfoSec, manajemen, dan regulasi (OJK jika diperlukan)</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 – Perlu dibuat</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IS-IR-02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A.5.26 – Response to Security Incidents</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Jika terjadi insiden keamanan terkait sistem VA:
• Tim IT wajib melakukan isolasi sistem yang terdampak dalam 30 menit
• Bukti digital (log, screenshot) harus diamankan sebelum tindakan korektif
• Nasabah yang terdampak harus dinotifikasi dalam 72 jam sesuai UU PDP
• Post-incident review wajib dilakukan dalam 2 minggu setelah insiden</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 – Perlu dibuat</w:t>
            </w:r>
          </w:p>
        </w:tc>
      </w:tr>
    </w:tbl>
    <w:p>
      <w:r>
        <w:t xml:space="preserve"/>
      </w:r>
    </w:p>
    <w:p>
      <w:pPr>
        <w:pStyle w:val="Heading2"/>
        <w:spacing w:before="240" w:after="80"/>
      </w:pPr>
      <w:r>
        <w:rPr>
          <w:rFonts w:ascii="Arial" w:cs="Arial" w:eastAsia="Arial" w:hAnsi="Arial"/>
          <w:b/>
          <w:bCs/>
          <w:color w:val="2E75B6"/>
          <w:sz w:val="24"/>
          <w:szCs w:val="24"/>
        </w:rPr>
        <w:t xml:space="preserve">6.7. Keamanan Pihak Ketiga (Third-Party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IS-TP-01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A.5.19 – Information Security in Supplier Relationships</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Perjanjian keamanan dengan pihak bank (BCA &amp; BRI) harus mencakup:
• Data Processing Agreement (DPA) atau klausul keamanan dalam perjanjian layanan
• Hak audit keamanan terhadap layanan VA yang disediakan bank
• Kewajiban notifikasi jika terjadi insiden dari sisi bank dalam 24 jam
• Persyaratan enkripsi dan autentikasi untuk API host-to-host</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 – Perlu dikontrak ulang</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IS-TP-02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A.5.20 – Addressing Security in Supplier Agreements</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Penilaian risiko vendor (Vendor Risk Assessment) harus dilakukan terhadap BCA dan BRI sebelum go-live:
• Review sertifikasi keamanan bank (ISO 27001, PCI-DSS)
• Konfirmasi mekanisme disaster recovery API VA
• Review security posture dari gateway yang digunakan bank</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w:t>
            </w:r>
          </w:p>
        </w:tc>
      </w:tr>
    </w:tbl>
    <w:p>
      <w:r>
        <w:t xml:space="preserve"/>
      </w:r>
    </w:p>
    <w:p>
      <w:pPr>
        <w:pStyle w:val="Heading2"/>
        <w:spacing w:before="240" w:after="80"/>
      </w:pPr>
      <w:r>
        <w:rPr>
          <w:rFonts w:ascii="Arial" w:cs="Arial" w:eastAsia="Arial" w:hAnsi="Arial"/>
          <w:b/>
          <w:bCs/>
          <w:color w:val="2E75B6"/>
          <w:sz w:val="24"/>
          <w:szCs w:val="24"/>
        </w:rPr>
        <w:t xml:space="preserve">6.8. Business Continuity &amp; Disaster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 ISO 27001:2022</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IS-BC-01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A.5.29 – Information Security during Disruption</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Business Continuity Plan (BCP) harus mendefinisikan prosedur jika terjadi gangguan pada sistem VA:
• RTO (Recovery Time Objective): Maksimal 4 jam downtime sistem dbpayment
• RPO (Recovery Point Objective): Maksimal kehilangan data 15 menit terakhir
• Prosedur fallback manual untuk pembayaran jika sistem VA tidak tersedia
• Uji coba BCP minimal 1x per tahun (DR Drill)</w:t>
            </w:r>
          </w:p>
        </w:tc>
        <w:tc>
          <w:tcPr>
            <w:tcW w:type="dxa" w:w="17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SEBAGIAN – DR-02 ada fallback manual, belum formal</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IS-BC-02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A.8.14 – Redundancy of Information Processing Facilities</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dbpayment harus di-deploy dengan arsitektur High Availability (HA):
• Minimal Active-Passive failover untuk komponen kritikal
• Backup harian database transaksi dengan enkripsi AES-256
• Backup disimpan di lokasi terpisah (offsite atau cloud)
• Restore test dilakukan minimal setiap 3 bulan</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 – Perlu dikonfirmasi dengan IT Infra</w:t>
            </w:r>
          </w:p>
        </w:tc>
      </w:tr>
    </w:tbl>
    <w:p>
      <w:r>
        <w:t xml:space="preserve"/>
      </w:r>
    </w:p>
    <w:p>
      <w:pPr>
        <w:pStyle w:val="Heading2"/>
        <w:spacing w:before="240" w:after="80"/>
      </w:pPr>
      <w:r>
        <w:rPr>
          <w:rFonts w:ascii="Arial" w:cs="Arial" w:eastAsia="Arial" w:hAnsi="Arial"/>
          <w:b/>
          <w:bCs/>
          <w:color w:val="2E75B6"/>
          <w:sz w:val="24"/>
          <w:szCs w:val="24"/>
        </w:rPr>
        <w:t xml:space="preserve">6.9. Perlindungan Data Pribadi (UU PDP &amp; OJK)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26"/>
        <w:gridCol w:w="1700"/>
      </w:tblGrid>
      <w:t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Kontrol</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Referensi</w:t>
            </w:r>
          </w:p>
        </w:tc>
        <w:tc>
          <w:tcPr>
            <w:tcW w:type="dxa" w:w="43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Requirement</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IS-DP-01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UU PDP No.27/2022 &amp; ISO 27001 A.5.34</w:t>
            </w:r>
          </w:p>
        </w:tc>
        <w:tc>
          <w:tcPr>
            <w:tcW w:type="dxa" w:w="43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pribadi nasabah yang diproses dalam sistem VA (nama, nomor polis, nominal) merupakan Data Pribadi Umum sesuai UU PDP. Pemrosesan data harus:
• Berdasarkan persetujuan nasabah (consent) yang terdokumentasi
• Dibatasi sesuai tujuan (purpose limitation): hanya untuk settlement premi
• Tidak disimpan lebih lama dari yang diperlukan (retention period maks 5 tahun)
• Dapat dihapus atas permintaan nasabah (right to erasure)</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BELUM ADA – Kritikal untuk kepatuhan regulasi</w:t>
            </w:r>
          </w:p>
        </w:tc>
      </w:tr>
      <w:tr>
        <w:tc>
          <w:tcPr>
            <w:tcW w:type="dxa" w:w="12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IS-DP-02</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OJK POJK 11/2022 &amp; ISO 27001 A.5.36</w:t>
            </w:r>
          </w:p>
        </w:tc>
        <w:tc>
          <w:tcPr>
            <w:tcW w:type="dxa" w:w="43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Sebagai perusahaan asuransi di bawah pengawasan OJK, Equity Life wajib:
• Melaporkan insiden kebocoran data kepada OJK dalam 14 hari kerja
• Memastikan sistem VA memenuhi persyaratan keamanan sistem informasi POJK
• Menyimpan rekam jejak transaksi sesuai ketentuan retensi OJK</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WAJIB – Selaraskan dengan tim Legal &amp; Compliance</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7. RINGKASAN GAP ISO 27001:2022</w:t>
      </w:r>
    </w:p>
    <w:p>
      <w:pPr>
        <w:spacing w:before="40" w:after="80"/>
      </w:pPr>
      <w:r>
        <w:rPr>
          <w:rFonts w:ascii="Arial" w:cs="Arial" w:eastAsia="Arial" w:hAnsi="Arial"/>
          <w:b w:val="false"/>
          <w:bCs w:val="false"/>
          <w:i w:val="false"/>
          <w:iCs w:val="false"/>
          <w:color w:val="000000"/>
          <w:sz w:val="20"/>
          <w:szCs w:val="20"/>
        </w:rPr>
        <w:t xml:space="preserve">Tabel berikut merangkum seluruh gap keamanan yang ditemukan berdasarkan review terhadap dokumen BFRD versi awal. Seluruh item dengan prioritas HIGH harus diselesaikan sebelum sistem masuk ke fase go-live.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600"/>
        <w:gridCol w:w="2500"/>
        <w:gridCol w:w="900"/>
        <w:gridCol w:w="1526"/>
      </w:tblGrid>
      <w:tr>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 Kontrol</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Klausul</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Tindakan yang Diperlukan</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Prioritas</w:t>
            </w:r>
          </w:p>
        </w:tc>
        <w:tc>
          <w:tcPr>
            <w:tcW w:type="dxa" w:w="15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Target</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IS-POL-02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A.5.36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Klasifikasi Data</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Tambahkan tabel klasifikasi data di seksi 6.1</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UAT</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IS-AC-01</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A.5.15</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RBAC Implementation</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Definisikan skema RBAC &amp; terapkan di sistem</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4-Eyes untuk Config</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Buat proses approval perubahan konfigurasi bank</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IS-AC-03</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A.8.5</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MFA &amp; Password Policy</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Implementasi MFA untuk user internal</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UAT</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IS-CR-02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Key Management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Migrasikan API Key ke Secrets Vault</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IS-CR-03</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A.8.11</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Masking</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Implementasi masking PII di log &amp; UI Dev</w:t>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MEDIUM</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IS-SD-01</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Secure SDLC</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Lakukan Threat Modeling &amp; SAST</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Segera</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IS-SD-02</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A.8.29</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Security Testing</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Jadwalkan Pentest sebelum go-live</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IS-LG-02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A.8.16</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Security Monitoring</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Implementasi alerting anomali transaksi</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IS-IR-01</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A.5.24</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Incident Response Plan</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Buat SIRP untuk skenario sistem VA</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IS-TP-01</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A.5.19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Third-Party Agreement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Tambahkan klausul DPA dalam kontrak bank</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Segera</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IS-TP-02</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A.5.20</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Vendor Risk Assessment</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Lakukan VRA terhadap BCA &amp; BRI</w:t>
            </w:r>
          </w:p>
        </w:tc>
        <w:tc>
          <w:tcPr>
            <w:tcW w:type="dxa" w:w="9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top"/>
          </w:tcPr>
          <w:p>
            <w:r>
              <w:rPr>
                <w:rFonts w:ascii="Arial" w:cs="Arial" w:eastAsia="Arial" w:hAnsi="Arial"/>
                <w:b/>
                <w:bCs/>
                <w:color w:val="000000"/>
                <w:sz w:val="18"/>
                <w:szCs w:val="18"/>
              </w:rPr>
              <w:t xml:space="preserve">MEDIUM</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UAT</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IS-BC-02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A.8.14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 &amp; Backup</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Konfirmasi arsitektur HA &amp; backup policy</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IS-DP-01</w:t>
            </w:r>
          </w:p>
        </w:tc>
        <w:tc>
          <w:tcPr>
            <w:tcW w:type="dxa" w:w="1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UU PDP</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Privacy</w:t>
            </w:r>
          </w:p>
        </w:tc>
        <w:tc>
          <w:tcPr>
            <w:tcW w:type="dxa" w:w="2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Terapkan consent, retention, erasure policy</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Sebelum Go-Live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IS-DP-02</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OJK POJK 11/2022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OJK Compliance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Selaraskan dengan Legal &amp; Compliance</w:t>
            </w:r>
          </w:p>
        </w:tc>
        <w:tc>
          <w:tcPr>
            <w:tcW w:type="dxa" w:w="9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bCs/>
                <w:color w:val="000000"/>
                <w:sz w:val="18"/>
                <w:szCs w:val="18"/>
              </w:rPr>
              <w:t xml:space="preserve">HIGH</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Segera</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8. BUSINESS LOGIC &amp;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Rule ID</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Nama Rule</w:t>
            </w:r>
          </w:p>
        </w:tc>
        <w:tc>
          <w:tcPr>
            <w:tcW w:type="dxa" w:w="61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Deskripsi Logic</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Company Code Mapping</w:t>
            </w:r>
          </w:p>
        </w:tc>
        <w:tc>
          <w:tcPr>
            <w:tcW w:type="dxa" w:w="6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memetakan transaksi berdasarkan Bank dan Kategori Produk (ULILP).
• BCA: NB menggunakan code 13061, RN menggunakan code 00316
• BRI: NB menggunakan code 13000, RN menggunakan code 12999</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BR-02</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 Number Composition</w:t>
            </w:r>
          </w:p>
        </w:tc>
        <w:tc>
          <w:tcPr>
            <w:tcW w:type="dxa" w:w="61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Nomor VA = [Company Code] + [Identification Number]. Identification Number = Nomor SPAJ (NB) atau Nomor Polis (RN).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Transaction Categorization</w:t>
            </w:r>
          </w:p>
        </w:tc>
        <w:tc>
          <w:tcPr>
            <w:tcW w:type="dxa" w:w="6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Penentuan NB atau RN berdasarkan status polis di Core System: 'Prospect/In-Progress' → NB; 'Inforce' → RN.</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BR-04</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Payment Type Validation</w:t>
            </w:r>
          </w:p>
        </w:tc>
        <w:tc>
          <w:tcPr>
            <w:tcW w:type="dxa" w:w="61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hanya menerima metode Close Payment. Nominal harus tepat sama dengan tagihan. Jika tidak sesuai, bank menolak transaksi.</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Real-time Settlement Trigger</w:t>
            </w:r>
          </w:p>
        </w:tc>
        <w:tc>
          <w:tcPr>
            <w:tcW w:type="dxa" w:w="6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Begitu notifikasi sukses diterima dari Bank, dbpayment wajib mengirimkan flag pelunasan ke Precentia Life secara otomatis tanpa batch.</w:t>
            </w:r>
          </w:p>
        </w:tc>
      </w:tr>
      <w:tr>
        <w:tc>
          <w:tcPr>
            <w:tcW w:type="dxa" w:w="9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BR-06</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Collection Account Routing</w:t>
            </w:r>
          </w:p>
        </w:tc>
        <w:tc>
          <w:tcPr>
            <w:tcW w:type="dxa" w:w="61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Dana VA diarahkan ke rekening koleksi yang sesuai: BCA: 6340044281/6340047875 | BRI: 020601003327300. [KONFIDENSIAL – akses terbatas]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BR-07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Duplicate Payment Prevention</w:t>
            </w:r>
          </w:p>
        </w:tc>
        <w:tc>
          <w:tcPr>
            <w:tcW w:type="dxa" w:w="61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harus memblokir pembayaran jika nomor VA yang sama sudah berstatus 'Paid' di hari yang sama.</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9. DEPENDENCIES &amp;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700"/>
        <w:gridCol w:w="2000"/>
        <w:gridCol w:w="2300"/>
        <w:gridCol w:w="1626"/>
      </w:tblGrid>
      <w:tr>
        <w:tc>
          <w:tcPr>
            <w:tcW w:type="dxa" w:w="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ID</w:t>
            </w:r>
          </w:p>
        </w:tc>
        <w:tc>
          <w:tcPr>
            <w:tcW w:type="dxa" w:w="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Tipe</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Dependency / Risk</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Dampak</w:t>
            </w:r>
          </w:p>
        </w:tc>
        <w:tc>
          <w:tcPr>
            <w:tcW w:type="dxa" w:w="23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Mitigasi</w:t>
            </w:r>
          </w:p>
        </w:tc>
        <w:tc>
          <w:tcPr>
            <w:tcW w:type="dxa" w:w="16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Owner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Dep</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 Readiness Bank (BCA &amp; BRI)</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Jika API bank belum siap, generation VA terhambat.</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Koordinasi intensif dengan perbankan; pastikan sandbox tersedia segera.</w:t>
            </w:r>
          </w:p>
        </w:tc>
        <w:tc>
          <w:tcPr>
            <w:tcW w:type="dxa" w:w="1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 Digital / Finance</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DR-02</w:t>
            </w:r>
          </w:p>
        </w:tc>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Risk</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Kegagalan integrasi dbpayment ↔ Core</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pembayaran tidak masuk core, polis tidak terbit otomatis.</w:t>
            </w:r>
          </w:p>
        </w:tc>
        <w:tc>
          <w:tcPr>
            <w:tcW w:type="dxa" w:w="2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SIT menyeluruh; skema fallback manual jika API gangguan.</w:t>
            </w:r>
          </w:p>
        </w:tc>
        <w:tc>
          <w:tcPr>
            <w:tcW w:type="dxa" w:w="1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 Core &amp; Digital</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DR-03</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Risk</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Timeline terlalu agresif (Target 16 Maret 2026)</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Risiko Major Bug saat peluncuran karena UAT terbatas.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Prioritas fitur (MVP), lembur terencana, daily stand-up.</w:t>
            </w:r>
          </w:p>
        </w:tc>
        <w:tc>
          <w:tcPr>
            <w:tcW w:type="dxa" w:w="1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PM / BA</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DR-04</w:t>
            </w:r>
          </w:p>
        </w:tc>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Dep</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Konfigurasi Produk (ULILP) di Core System</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VA tidak dapat memvalidasi tagihan jika produk belum aktif.</w:t>
            </w:r>
          </w:p>
        </w:tc>
        <w:tc>
          <w:tcPr>
            <w:tcW w:type="dxa" w:w="23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Setup produk Universal Life di Precentia Life secara paralel.</w:t>
            </w:r>
          </w:p>
        </w:tc>
        <w:tc>
          <w:tcPr>
            <w:tcW w:type="dxa" w:w="1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Product Mgmt</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DR-05</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Risk</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Mismatch saat Settlement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Nilai premi tidak sesuai tagihan, auto-settlement gagal.</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Validation rules ketat pada API VA; Close Payment enforcement.</w:t>
            </w:r>
          </w:p>
        </w:tc>
        <w:tc>
          <w:tcPr>
            <w:tcW w:type="dxa" w:w="1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 Dev / Finance</w:t>
            </w:r>
          </w:p>
        </w:tc>
      </w:tr>
      <w:tr>
        <w:tc>
          <w:tcPr>
            <w:tcW w:type="dxa" w:w="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DR-06</w:t>
            </w:r>
          </w:p>
        </w:tc>
        <w:tc>
          <w:tcPr>
            <w:tcW w:type="dxa" w:w="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Risk</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Kebocoran API Key atau Kredensial Bank</w:t>
            </w:r>
          </w:p>
        </w:tc>
        <w:tc>
          <w:tcPr>
            <w:tcW w:type="dxa" w:w="2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Akses tidak sah ke sistem VA atau rekening koleksi.</w:t>
            </w:r>
          </w:p>
        </w:tc>
        <w:tc>
          <w:tcPr>
            <w:tcW w:type="dxa" w:w="23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Implementasi IS-CR-02: Secrets Vault &amp; rotasi berkala.</w:t>
            </w:r>
          </w:p>
        </w:tc>
        <w:tc>
          <w:tcPr>
            <w:tcW w:type="dxa" w:w="1626"/>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InfoSec / IT Dev</w:t>
            </w:r>
          </w:p>
        </w:tc>
      </w:tr>
      <w:tr>
        <w:tc>
          <w:tcPr>
            <w:tcW w:type="dxa" w:w="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DR-07</w:t>
            </w:r>
          </w:p>
        </w:tc>
        <w:tc>
          <w:tcPr>
            <w:tcW w:type="dxa" w:w="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Risk</w:t>
            </w:r>
          </w:p>
        </w:tc>
        <w:tc>
          <w:tcPr>
            <w:tcW w:type="dxa" w:w="17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Serangan pada Callback Endpoint</w:t>
            </w:r>
          </w:p>
        </w:tc>
        <w:tc>
          <w:tcPr>
            <w:tcW w:type="dxa" w:w="2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Spoofing notifikasi pembayaran dari pihak tidak sah.</w:t>
            </w:r>
          </w:p>
        </w:tc>
        <w:tc>
          <w:tcPr>
            <w:tcW w:type="dxa" w:w="23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Validasi signature (HMAC/RSA) pada setiap callback dari bank (IS-LG-02).</w:t>
            </w:r>
          </w:p>
        </w:tc>
        <w:tc>
          <w:tcPr>
            <w:tcW w:type="dxa" w:w="1626"/>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IT Dev / InfoSec</w:t>
            </w:r>
          </w:p>
        </w:tc>
      </w:tr>
    </w:tbl>
    <w:p>
      <w:r>
        <w:t xml:space="preserve"/>
      </w:r>
    </w:p>
    <w:p>
      <w:pPr>
        <w:spacing w:before="40" w:after="80"/>
      </w:pPr>
      <w:r>
        <w:rPr>
          <w:rFonts w:ascii="Arial" w:cs="Arial" w:eastAsia="Arial" w:hAnsi="Arial"/>
          <w:b w:val="false"/>
          <w:bCs w:val="false"/>
          <w:i/>
          <w:iCs/>
          <w:color w:val="AA0000"/>
          <w:sz w:val="20"/>
          <w:szCs w:val="20"/>
        </w:rPr>
        <w:t xml:space="preserve">Catatan: DR-06 dan DR-07 adalah risiko keamanan baru yang ditambahkan sesuai ISO 27001:2022.</w:t>
      </w:r>
    </w:p>
    <w:p>
      <w:r>
        <w:t xml:space="preserve"/>
      </w:r>
    </w:p>
    <w:p>
      <w:r>
        <w:br w:type="page"/>
      </w:r>
    </w:p>
    <w:p>
      <w:pPr>
        <w:pStyle w:val="Heading1"/>
        <w:spacing w:before="360" w:after="120"/>
      </w:pPr>
      <w:r>
        <w:rPr>
          <w:rFonts w:ascii="Arial" w:cs="Arial" w:eastAsia="Arial" w:hAnsi="Arial"/>
          <w:b/>
          <w:bCs/>
          <w:color w:val="1F4E79"/>
          <w:sz w:val="32"/>
          <w:szCs w:val="32"/>
        </w:rPr>
        <w:t xml:space="preserve">10.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UC-01</w:t>
            </w:r>
          </w:p>
        </w:tc>
        <w:tc>
          <w:tcPr>
            <w:tcW w:type="dxa" w:w="6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val="false"/>
                <w:bCs w:val="false"/>
                <w:color w:val="FFFFFF"/>
                <w:sz w:val="18"/>
                <w:szCs w:val="18"/>
              </w:rPr>
              <w:t xml:space="preserve">Generate Virtual Account</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Kategori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Transactional / Payment Gateway</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Prioritas</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Aktor</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Agent</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Deskripsi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Proses menghasilkan nomor Virtual Account (BCA/BRI) unik untuk pembayaran premi produk Universal Life.</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Prekondisi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Data polis/SPAJ sudah terdaftar di sistem.
2. Parameter produk (ULILP) aktif di Core System.
3. Koneksi API antara dbpayment dan Bank aktif.</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Admin/Customer memilih metode pembayaran 'Virtual Account'.
2. Pilih Bank tujuan (BCA atau BRI).
3. Sistem kirim permintaan generate VA ke API bank.
4. Bank merespon dengan nomor VA unik.
5. Sistem menyimpan dan menampilkan nomor VA beserta nominal.</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Keamanan (ISO 27001)</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Autentikasi API menggunakan Token (IS-CR-01)
• Log generate VA dicatat ke audit trail (IS-LG-01)
• API Key tidak muncul dalam response (IS-CR-02)</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Alternate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Connection Timeout: Sistem menampilkan pesan 'Gagal Generate VA, Silakan Coba Lagi'.</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Output</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Nomor Virtual Account aktif tampil pada layar dan siap digunakan untuk pembayaran.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UC-02</w:t>
            </w:r>
          </w:p>
        </w:tc>
        <w:tc>
          <w:tcPr>
            <w:tcW w:type="dxa" w:w="6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val="false"/>
                <w:bCs w:val="false"/>
                <w:color w:val="FFFFFF"/>
                <w:sz w:val="18"/>
                <w:szCs w:val="18"/>
              </w:rPr>
              <w:t xml:space="preserve">Inquiry Virtual Account</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Kategori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Integration / Banking Interaction</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Prioritas</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Aktor</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System (BCA/BRI)</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Deskripsi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Proses sistem Bank melakukan verifikasi nomor VA dan nominal tagihan ke sistem internal sebelum nasabah melakukan pembayaran.</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Prekondisi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Nomor VA telah berhasil di-generate dan tersimpan di database.
2. Status VA aktif (belum kedaluwarsa atau belum lunas).</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Nasabah memasukkan nomor VA di kanal Bank.
2. Sistem Bank kirim Inquiry Request ke API dbpayment.
3. Sistem validasi eksistensi nomor VA dan nominal tagihan.
4. Sistem kirim respon berisi Nama Nasabah dan Total Tagihan.
5. Bank tampilkan data di layar ATM/M-Banking.</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Keamanan (ISO 27001)</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Nama nasabah di-mask sebagian dalam response (IS-CR-03)
• Setiap inquiry di-log dengan IP source bank (IS-LG-01)
• Rate limiting pada endpoint inquiry (IS-LG-02)</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Alternate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 Not Found: Sistem merespon dengan kode error, Bank tampilkan 'Nomor VA Salah'.</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Output</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tagihan tampil secara akurat di layar kanal pembayaran Bank.</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UC-03</w:t>
            </w:r>
          </w:p>
        </w:tc>
        <w:tc>
          <w:tcPr>
            <w:tcW w:type="dxa" w:w="6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val="false"/>
                <w:bCs w:val="false"/>
                <w:color w:val="FFFFFF"/>
                <w:sz w:val="18"/>
                <w:szCs w:val="18"/>
              </w:rPr>
              <w:t xml:space="preserve">Receive Payment Notification</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Kategori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Integration / Transactional</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Prioritas</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Aktor</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System</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Deskripsi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menerima konfirmasi pelunasan secara real-time dari Bank setelah nasabah melakukan pembayaran.</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Prekondisi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Proses Inquiry (UC-02) telah sukses.
2. Dana nasabah berhasil didebit oleh Bank.</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Bank kirim Payment Notification (callback) ke endpoint dbpayment.
2. Sistem verifikasi keabsahan data (Signature/Token).
3. Sistem cocokkan data transaksi dengan record VA.
4. Sistem ubah status transaksi menjadi 'Success'.
5. Sistem kirim Acknowledgment ke Bank.</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Keamanan (ISO 27001)</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Validasi HMAC/RSA Signature pada setiap callback (IS-LG-02)
• Log upaya akses ilegal (Invalid Signature) dicatat dan di-alert (IS-LG-01)
• Whitelist IP untuk endpoint callback bank (IS-LG-02)</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Alternate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Invalid Signature: Sistem menolak notifikasi dan mencatat log upaya akses ilegal, trigger security alert.</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Output</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Status transaksi di database dbpayment terupdate menjadi sukses/lunas.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UC-04</w:t>
            </w:r>
          </w:p>
        </w:tc>
        <w:tc>
          <w:tcPr>
            <w:tcW w:type="dxa" w:w="6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val="false"/>
                <w:bCs w:val="false"/>
                <w:color w:val="FFFFFF"/>
                <w:sz w:val="18"/>
                <w:szCs w:val="18"/>
              </w:rPr>
              <w:t xml:space="preserve">Automated Settlement to Core</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Kategori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Internal Integration / Core Insurance</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Prioritas</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Aktor</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System (dbpayment &amp; Precentia Life)</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Deskripsi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Proses sinkronisasi data pembayaran agar status finansial polis di core system terupdate secara otomatis tanpa intervensi manual.</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Prekondisi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Status pembayaran di dbpayment sudah 'Success'.
2. Layanan API Core System (Precentia Life) tersedia.</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Sistem picu fungsi Auto-Settlement begitu notifikasi bank diterima.
2. Sistem kirim detail pembayaran (Polis, Nominal, Tgl Bayar) ke Core API.
3. Core System validasi data dan lakukan pembukuan internal.
4. Core System kirim konfirmasi sukses settlement.
5. Sistem perbarui log integrasi.</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Keamanan (ISO 27001)</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Data payload dienkripsi saat transit (IS-CR-01)
• Log integrasi bersifat immutable (IS-LG-01)
• Retry mechanism dengan max 3 percobaan + alert jika gagal (IS-LG-02)</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Alternate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Integration Error: Sistem tunda proses dan pindahkan ke antrian Retry Mechanism. Alert dikirim ke tim IT.</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Output</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Status Polis di Precentia Life berubah menjadi 'Paid' atau 'Inforce'.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UC-05</w:t>
            </w:r>
          </w:p>
        </w:tc>
        <w:tc>
          <w:tcPr>
            <w:tcW w:type="dxa" w:w="6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val="false"/>
                <w:bCs w:val="false"/>
                <w:color w:val="FFFFFF"/>
                <w:sz w:val="18"/>
                <w:szCs w:val="18"/>
              </w:rPr>
              <w:t xml:space="preserve">Generate Recon Report</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Kategori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Reporting / Finance Operations</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Prioritas</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Medium</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Aktor</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Finance User</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Deskripsi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Penyediaan laporan rekapitulasi transaksi untuk memastikan kecocokan antara dana di bank dengan data di core system.</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Prekondisi</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User memiliki hak akses role FINANCE atau ADMIN di portal reporting.</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Main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User login dengan MFA ke modul laporan rekonsiliasi.
2. User pilih filter (Rentang Tanggal, Bank, Kategori Produk).
3. Sistem tarik data dari log transaksi dbpayment.
4. Sistem kompilasi data ke dalam format laporan.
5. User unduh file laporan.</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Keamanan (ISO 27001)</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 Akses hanya untuk role FINANCE/ADMIN (IS-AC-01)
• Login wajib MFA (IS-AC-03)
• Nominasi laporan tidak menampilkan nomor rekening nasabah (IS-CR-03)
• Aktivitas download laporan di-log (IS-LG-01)</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Alternate Flow</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Data Found: Sistem tampilkan 'Data Tidak Ditemukan'.</w:t>
            </w:r>
          </w:p>
        </w:tc>
      </w:tr>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r>
              <w:rPr>
                <w:rFonts w:ascii="Arial" w:cs="Arial" w:eastAsia="Arial" w:hAnsi="Arial"/>
                <w:b/>
                <w:bCs/>
                <w:color w:val="000000"/>
                <w:sz w:val="18"/>
                <w:szCs w:val="18"/>
              </w:rPr>
              <w:t xml:space="preserve">Output</w:t>
            </w:r>
          </w:p>
        </w:tc>
        <w:tc>
          <w:tcPr>
            <w:tcW w:type="dxa" w:w="6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File Laporan Rekonsiliasi (.xlsx/.csv) siap digunakan untuk balancing.</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11. PROCESS FLOW &amp; SYSTEM INTERACTIONS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000"/>
        <w:gridCol w:w="3626"/>
      </w:tblGrid>
      <w:tr>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Step</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Aktor</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Aksi</w:t>
            </w:r>
          </w:p>
        </w:tc>
        <w:tc>
          <w:tcPr>
            <w:tcW w:type="dxa" w:w="36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System Response / Logic</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 / Agent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Memilih metode pembayaran 'Virtual Account' (BCA/BRI) saat pengajuan New Business atau Renewal.</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menampilkan pilihan bank sesuai konfigurasi produk (ULILP).</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P-02</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Front-end System</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Mengirimkan permintaan generate VA ke sistem dbpayment.</w:t>
            </w:r>
          </w:p>
        </w:tc>
        <w:tc>
          <w:tcPr>
            <w:tcW w:type="dxa" w:w="3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dbpayment memvalidasi nomor polis/SPAJ dan nominal tagihan ke Core System (Precentia Life).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dbpayment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Mengirimkan instruksi pembuatan VA ke API Bank (BCA/BRI) sesuai Company Code.</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memberikan respon berupa Nomor VA unik (Contoh: 13061 + [Polis ID]).</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P-04</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System</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Menampilkan identitas nasabah (ter-mask) dan nominal tagihan di layar ATM/M-Banking.</w:t>
            </w:r>
          </w:p>
        </w:tc>
        <w:tc>
          <w:tcPr>
            <w:tcW w:type="dxa" w:w="3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memvalidasi apakah VA aktif dan sesuai nominal (Close Payment).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Customer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Melakukan konfirmasi pembayaran.</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mendebit saldo nasabah dan mengirimkan Callback/Notification sukses secara real-time ke dbpayment.</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P-06</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dbpayment</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Menerima notifikasi sukses dari Bank; verifikasi signature; teruskan data ke Precentia Life.</w:t>
            </w:r>
          </w:p>
        </w:tc>
        <w:tc>
          <w:tcPr>
            <w:tcW w:type="dxa" w:w="3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Sistem mencatat waktu bayar, nominal, dan kode referensi bank ke dalam audit log (immutable).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P-07</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Core System (Precentia Life)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Menerima data dari dbpayment dan menjalankan fungsi Automated Settlement.</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Status premi berubah menjadi 'Paid', tanggal bayar terupdate, Policy Issuance terpicu otomatis.</w:t>
            </w:r>
          </w:p>
        </w:tc>
      </w:tr>
      <w:tr>
        <w:tc>
          <w:tcPr>
            <w:tcW w:type="dxa" w:w="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P-08</w:t>
            </w:r>
          </w:p>
        </w:tc>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System</w:t>
            </w:r>
          </w:p>
        </w:tc>
        <w:tc>
          <w:tcPr>
            <w:tcW w:type="dxa" w:w="3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Mengirimkan notifikasi (Email/SMS/Push Notif) kepada nasabah.</w:t>
            </w:r>
          </w:p>
        </w:tc>
        <w:tc>
          <w:tcPr>
            <w:tcW w:type="dxa" w:w="36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Nasabah menerima konfirmasi bahwa pembayaran premi telah berhasil diterima oleh Equity Life.</w:t>
            </w:r>
          </w:p>
        </w:tc>
      </w:tr>
    </w:tbl>
    <w:p>
      <w:r>
        <w:t xml:space="preserve"/>
      </w:r>
    </w:p>
    <w:p>
      <w:r>
        <w:br w:type="page"/>
      </w:r>
    </w:p>
    <w:p>
      <w:pPr>
        <w:pStyle w:val="Heading1"/>
        <w:spacing w:before="360" w:after="120"/>
      </w:pPr>
      <w:r>
        <w:rPr>
          <w:rFonts w:ascii="Arial" w:cs="Arial" w:eastAsia="Arial" w:hAnsi="Arial"/>
          <w:b/>
          <w:bCs/>
          <w:color w:val="1F4E79"/>
          <w:sz w:val="32"/>
          <w:szCs w:val="32"/>
        </w:rPr>
        <w:t xml:space="preserve">12. APPENDICES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500"/>
        <w:gridCol w:w="2826"/>
      </w:tblGrid>
      <w:tr>
        <w:tc>
          <w:tcPr>
            <w:tcW w:type="dxa" w:w="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No</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Judul Appendix</w:t>
            </w:r>
          </w:p>
        </w:tc>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Deskripsi Konten</w:t>
            </w:r>
          </w:p>
        </w:tc>
        <w:tc>
          <w:tcPr>
            <w:tcW w:type="dxa" w:w="28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top"/>
          </w:tcPr>
          <w:p>
            <w:r>
              <w:rPr>
                <w:rFonts w:ascii="Arial" w:cs="Arial" w:eastAsia="Arial" w:hAnsi="Arial"/>
                <w:b/>
                <w:bCs/>
                <w:color w:val="FFFFFF"/>
                <w:sz w:val="18"/>
                <w:szCs w:val="18"/>
              </w:rPr>
              <w:t xml:space="preserve">Sumber / Referensi</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10.1</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Bank Configuration Table</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Daftar lengkap Company Code, nomor rekening koleksi, dan kategori produk (ULILP) untuk BCA dan BRI. [KONFIDENSIAL]</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BRF Expected Deliverables</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10.2</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Information Security Policy</w:t>
            </w:r>
          </w:p>
        </w:tc>
        <w:tc>
          <w:tcPr>
            <w:tcW w:type="dxa" w:w="3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Referensi ke kebijakan keamanan informasi perusahaan yang berlaku. Wajib dilampirkan.</w:t>
            </w:r>
          </w:p>
        </w:tc>
        <w:tc>
          <w:tcPr>
            <w:tcW w:type="dxa" w:w="28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InfoSec Team</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10.3</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Security Incident Response Plan</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Template SIRP untuk insiden terkait sistem VA (kebocoran data, fraud, gangguan API).', [Perlu dibuat]</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InfoSec / IT Dev</w:t>
            </w:r>
          </w:p>
        </w:tc>
      </w:tr>
      <w:tr>
        <w:tc>
          <w:tcPr>
            <w:tcW w:type="dxa" w:w="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10.4</w:t>
            </w:r>
          </w:p>
        </w:tc>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Vendor Risk Assessment – BCA &amp; BRI</w:t>
            </w:r>
          </w:p>
        </w:tc>
        <w:tc>
          <w:tcPr>
            <w:tcW w:type="dxa" w:w="35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Hasil penilaian risiko keamanan vendor perbankan. [Perlu dilakukan]</w:t>
            </w:r>
          </w:p>
        </w:tc>
        <w:tc>
          <w:tcPr>
            <w:tcW w:type="dxa" w:w="282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InfoSec / Procurement</w:t>
            </w:r>
          </w:p>
        </w:tc>
      </w:tr>
      <w:tr>
        <w:tc>
          <w:tcPr>
            <w:tcW w:type="dxa" w:w="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10.5</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Data Retention Policy</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Kebijakan retensi dan penghapusan data transaksi VA sesuai UU PDP &amp; OJK.</w:t>
            </w:r>
          </w:p>
        </w:tc>
        <w:tc>
          <w:tcPr>
            <w:tcW w:type="dxa" w:w="28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Legal / Compliance</w:t>
            </w:r>
          </w:p>
        </w:tc>
      </w:tr>
    </w:tbl>
    <w:p>
      <w:r>
        <w:t xml:space="preserve"/>
      </w:r>
    </w:p>
    <w:p>
      <w:r>
        <w:t xml:space="preserve"/>
      </w:r>
    </w:p>
    <w:p>
      <w:pPr>
        <w:pStyle w:val="Heading2"/>
        <w:spacing w:before="240" w:after="80"/>
      </w:pPr>
      <w:r>
        <w:rPr>
          <w:rFonts w:ascii="Arial" w:cs="Arial" w:eastAsia="Arial" w:hAnsi="Arial"/>
          <w:b/>
          <w:bCs/>
          <w:color w:val="2E75B6"/>
          <w:sz w:val="24"/>
          <w:szCs w:val="24"/>
        </w:rPr>
        <w:t xml:space="preserve">Referensi Standar</w:t>
      </w:r>
    </w:p>
    <w:p>
      <w:pPr>
        <w:spacing w:before="40" w:after="80"/>
      </w:pPr>
      <w:r>
        <w:rPr>
          <w:rFonts w:ascii="Arial" w:cs="Arial" w:eastAsia="Arial" w:hAnsi="Arial"/>
          <w:b w:val="false"/>
          <w:bCs w:val="false"/>
          <w:i w:val="false"/>
          <w:iCs w:val="false"/>
          <w:color w:val="000000"/>
          <w:sz w:val="20"/>
          <w:szCs w:val="20"/>
        </w:rPr>
        <w:t xml:space="preserve">• ISO/IEC 27001:2022 – Information Security Management Systems</w:t>
      </w:r>
    </w:p>
    <w:p>
      <w:pPr>
        <w:spacing w:before="40" w:after="80"/>
      </w:pPr>
      <w:r>
        <w:rPr>
          <w:rFonts w:ascii="Arial" w:cs="Arial" w:eastAsia="Arial" w:hAnsi="Arial"/>
          <w:b w:val="false"/>
          <w:bCs w:val="false"/>
          <w:i w:val="false"/>
          <w:iCs w:val="false"/>
          <w:color w:val="000000"/>
          <w:sz w:val="20"/>
          <w:szCs w:val="20"/>
        </w:rPr>
        <w:t xml:space="preserve">• ISO/IEC 27002:2022 – Information Security Controls</w:t>
      </w:r>
    </w:p>
    <w:p>
      <w:pPr>
        <w:spacing w:before="40" w:after="80"/>
      </w:pPr>
      <w:r>
        <w:rPr>
          <w:rFonts w:ascii="Arial" w:cs="Arial" w:eastAsia="Arial" w:hAnsi="Arial"/>
          <w:b w:val="false"/>
          <w:bCs w:val="false"/>
          <w:i w:val="false"/>
          <w:iCs w:val="false"/>
          <w:color w:val="000000"/>
          <w:sz w:val="20"/>
          <w:szCs w:val="20"/>
        </w:rPr>
        <w:t xml:space="preserve">• UU No. 27 Tahun 2022 – Perlindungan Data Pribadi</w:t>
      </w:r>
    </w:p>
    <w:p>
      <w:pPr>
        <w:spacing w:before="40" w:after="80"/>
      </w:pPr>
      <w:r>
        <w:rPr>
          <w:rFonts w:ascii="Arial" w:cs="Arial" w:eastAsia="Arial" w:hAnsi="Arial"/>
          <w:b w:val="false"/>
          <w:bCs w:val="false"/>
          <w:i w:val="false"/>
          <w:iCs w:val="false"/>
          <w:color w:val="000000"/>
          <w:sz w:val="20"/>
          <w:szCs w:val="20"/>
        </w:rPr>
        <w:t xml:space="preserve">• OJK POJK No. 11/POJK.03/2022 – Perlindungan Data Nasabah</w:t>
      </w:r>
    </w:p>
    <w:p>
      <w:pPr>
        <w:spacing w:before="40" w:after="80"/>
      </w:pPr>
      <w:r>
        <w:rPr>
          <w:rFonts w:ascii="Arial" w:cs="Arial" w:eastAsia="Arial" w:hAnsi="Arial"/>
          <w:b w:val="false"/>
          <w:bCs w:val="false"/>
          <w:i w:val="false"/>
          <w:iCs w:val="false"/>
          <w:color w:val="000000"/>
          <w:sz w:val="20"/>
          <w:szCs w:val="20"/>
        </w:rPr>
        <w:t xml:space="preserve">• OWASP Top 10 2021 – Web Application Security Risks</w:t>
      </w:r>
    </w:p>
    <w:p>
      <w:pPr>
        <w:spacing w:before="40" w:after="80"/>
      </w:pPr>
      <w:r>
        <w:rPr>
          <w:rFonts w:ascii="Arial" w:cs="Arial" w:eastAsia="Arial" w:hAnsi="Arial"/>
          <w:b w:val="false"/>
          <w:bCs w:val="false"/>
          <w:i w:val="false"/>
          <w:iCs w:val="false"/>
          <w:color w:val="000000"/>
          <w:sz w:val="20"/>
          <w:szCs w:val="20"/>
        </w:rPr>
        <w:t xml:space="preserve">• NIST SP 800-61r2 – Computer Security Incident Handling Guide</w:t>
      </w:r>
    </w:p>
    <w:p>
      <w:r>
        <w:t xml:space="preserve"/>
      </w:r>
    </w:p>
    <w:p>
      <w:pPr>
        <w:spacing w:before="40" w:after="80"/>
      </w:pPr>
      <w:r>
        <w:rPr>
          <w:rFonts w:ascii="Arial" w:cs="Arial" w:eastAsia="Arial" w:hAnsi="Arial"/>
          <w:b/>
          <w:bCs/>
          <w:i w:val="false"/>
          <w:iCs w:val="false"/>
          <w:color w:val="2E75B6"/>
          <w:sz w:val="20"/>
          <w:szCs w:val="20"/>
        </w:rPr>
        <w:t xml:space="preserve">── End of Document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Arial" w:cs="Arial" w:eastAsia="Arial" w:hAnsi="Arial"/>
        <w:color w:val="666666"/>
        <w:sz w:val="16"/>
        <w:szCs w:val="16"/>
      </w:rPr>
      <w:t xml:space="preserve">CONFIDENTIAL – Internal Use Only  |  Halaman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dari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666666"/>
        <w:sz w:val="16"/>
        <w:szCs w:val="16"/>
      </w:rPr>
      <w:t xml:space="preserve">Equity Life Indonesia  |  BFRD Virtual Account Universal Life  |  ISO 27001:2022 Compliant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2026-03-26T02:51:27.516Z</dcterms:created>
  <dcterms:modified xsi:type="dcterms:W3CDTF">2026-03-26T02:51:27.516Z</dcterms:modified>
</cp:coreProperties>
</file>

<file path=docProps/custom.xml><?xml version="1.0" encoding="utf-8"?>
<Properties xmlns="http://schemas.openxmlformats.org/officeDocument/2006/custom-properties" xmlns:vt="http://schemas.openxmlformats.org/officeDocument/2006/docPropsVTypes"/>
</file>