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single" w:color="1F3864" w:sz="12"/>
              <w:right w:val="none" w:color="FFFFFF" w:sz="0"/>
            </w:tcBorders>
            <w:shd w:fill="FFFFFF" w:val="clear"/>
            <w:tcMar>
              <w:bottom w:type="dxa" w:w="100"/>
            </w:tcMar>
          </w:tcPr>
          <w:p>
            <w:pPr>
              <w:spacing w:after="0"/>
              <w:jc w:val="center"/>
            </w:pPr>
            <w:r>
              <w:rPr>
                <w:rFonts w:ascii="Times New Roman" w:cs="Times New Roman" w:eastAsia="Times New Roman" w:hAnsi="Times New Roman"/>
                <w:b/>
                <w:bCs/>
                <w:color w:val="1F3864"/>
                <w:sz w:val="28"/>
                <w:szCs w:val="28"/>
              </w:rPr>
              <w:t xml:space="preserve">PT EQUITY LIFE INDONESIA</w:t>
            </w:r>
          </w:p>
          <w:p>
            <w:pPr>
              <w:spacing w:after="80"/>
              <w:jc w:val="center"/>
            </w:pPr>
            <w:r>
              <w:rPr>
                <w:rFonts w:ascii="Times New Roman" w:cs="Times New Roman" w:eastAsia="Times New Roman" w:hAnsi="Times New Roman"/>
                <w:color w:val="555555"/>
                <w:sz w:val="18"/>
                <w:szCs w:val="18"/>
              </w:rPr>
              <w:t xml:space="preserve">Menara Mulia Lt. 25, Jl. Gatot Subroto Kav. 9-11, Jakarta 12930</w:t>
            </w:r>
          </w:p>
        </w:tc>
      </w:tr>
    </w:tbl>
    <w:p>
      <w:pPr>
        <w:spacing w:after="240"/>
      </w:pPr>
      <w:r>
        <w:rPr>
          <w:rFonts w:ascii="Times New Roman" w:cs="Times New Roman" w:eastAsia="Times New Roman" w:hAnsi="Times New Roman"/>
          <w:sz w:val="22"/>
          <w:szCs w:val="22"/>
        </w:rPr>
        <w:t xml:space="preserve"/>
      </w:r>
    </w:p>
    <w:p>
      <w:pPr>
        <w:spacing w:after="60"/>
        <w:jc w:val="center"/>
      </w:pPr>
      <w:r>
        <w:rPr>
          <w:rFonts w:ascii="Times New Roman" w:cs="Times New Roman" w:eastAsia="Times New Roman" w:hAnsi="Times New Roman"/>
          <w:b/>
          <w:bCs/>
          <w:sz w:val="28"/>
          <w:szCs w:val="28"/>
        </w:rPr>
        <w:t xml:space="preserve">SURAT KEPUTUSAN</w:t>
      </w:r>
    </w:p>
    <w:p>
      <w:pPr>
        <w:spacing w:after="60"/>
        <w:jc w:val="center"/>
      </w:pPr>
      <w:r>
        <w:rPr>
          <w:rFonts w:ascii="Times New Roman" w:cs="Times New Roman" w:eastAsia="Times New Roman" w:hAnsi="Times New Roman"/>
          <w:b/>
          <w:bCs/>
          <w:sz w:val="24"/>
          <w:szCs w:val="24"/>
        </w:rPr>
        <w:t xml:space="preserve">No. XXX/HCD-SK/III/2026 (Revisi 1)</w:t>
      </w:r>
    </w:p>
    <w:p>
      <w:pPr>
        <w:spacing w:after="60"/>
        <w:jc w:val="center"/>
      </w:pPr>
      <w:r>
        <w:rPr>
          <w:rFonts w:ascii="Times New Roman" w:cs="Times New Roman" w:eastAsia="Times New Roman" w:hAnsi="Times New Roman"/>
          <w:sz w:val="22"/>
          <w:szCs w:val="22"/>
        </w:rPr>
        <w:t xml:space="preserve">Tentang</w:t>
      </w:r>
    </w:p>
    <w:p>
      <w:pPr>
        <w:spacing w:after="40"/>
        <w:jc w:val="center"/>
      </w:pPr>
      <w:r>
        <w:rPr>
          <w:rFonts w:ascii="Times New Roman" w:cs="Times New Roman" w:eastAsia="Times New Roman" w:hAnsi="Times New Roman"/>
          <w:b/>
          <w:bCs/>
          <w:sz w:val="22"/>
          <w:szCs w:val="22"/>
        </w:rPr>
        <w:t xml:space="preserve">PENUNJUKAN PETUGAS PELINDUNGAN DATA PRIBADI</w:t>
      </w:r>
    </w:p>
    <w:p>
      <w:pPr>
        <w:spacing w:after="40"/>
        <w:jc w:val="center"/>
      </w:pPr>
      <w:r>
        <w:rPr>
          <w:rFonts w:ascii="Times New Roman" w:cs="Times New Roman" w:eastAsia="Times New Roman" w:hAnsi="Times New Roman"/>
          <w:b/>
          <w:bCs/>
          <w:sz w:val="22"/>
          <w:szCs w:val="22"/>
        </w:rPr>
        <w:t xml:space="preserve">(</w:t>
      </w:r>
      <w:r>
        <w:rPr>
          <w:rFonts w:ascii="Times New Roman" w:cs="Times New Roman" w:eastAsia="Times New Roman" w:hAnsi="Times New Roman"/>
          <w:i/>
          <w:iCs/>
          <w:sz w:val="22"/>
          <w:szCs w:val="22"/>
        </w:rPr>
        <w:t xml:space="preserve">DATA PROTECTION OFFICER</w:t>
      </w:r>
      <w:r>
        <w:rPr>
          <w:rFonts w:ascii="Times New Roman" w:cs="Times New Roman" w:eastAsia="Times New Roman" w:hAnsi="Times New Roman"/>
          <w:b/>
          <w:bCs/>
          <w:sz w:val="22"/>
          <w:szCs w:val="22"/>
        </w:rPr>
        <w:t xml:space="preserve">)</w:t>
      </w:r>
    </w:p>
    <w:p>
      <w:pPr>
        <w:spacing w:after="240"/>
        <w:jc w:val="center"/>
      </w:pPr>
      <w:r>
        <w:rPr>
          <w:rFonts w:ascii="Times New Roman" w:cs="Times New Roman" w:eastAsia="Times New Roman" w:hAnsi="Times New Roman"/>
          <w:b/>
          <w:bCs/>
          <w:sz w:val="22"/>
          <w:szCs w:val="22"/>
        </w:rPr>
        <w:t xml:space="preserve">PT EQUITY LIFE INDONESIA</w:t>
      </w:r>
    </w:p>
    <w:p>
      <w:pPr>
        <w:pBdr>
          <w:bottom w:val="single" w:color="1F3864" w:sz="8" w:space="1"/>
        </w:pBdr>
        <w:spacing w:after="80" w:before="8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2"/>
                <w:szCs w:val="22"/>
              </w:rPr>
              <w:t xml:space="preserve">Menimbang</w:t>
            </w:r>
          </w:p>
        </w:tc>
        <w:tc>
          <w:tcPr>
            <w:tcW w:type="dxa" w:w="7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pPr>
            <w:r>
              <w:rPr>
                <w:rFonts w:ascii="Times New Roman" w:cs="Times New Roman" w:eastAsia="Times New Roman" w:hAnsi="Times New Roman"/>
                <w:sz w:val="22"/>
                <w:szCs w:val="22"/>
              </w:rPr>
              <w:t xml:space="preserve">: a.   Bahwa perlindungan data pribadi merupakan hak asasi manusia yang dijamin oleh konstitusi dan wajib ditegakkan oleh setiap organisasi yang melakukan pemrosesan data pribadi;</w:t>
            </w:r>
          </w:p>
          <w:p>
            <w:pPr>
              <w:spacing w:after="80"/>
            </w:pPr>
            <w:r>
              <w:rPr>
                <w:rFonts w:ascii="Times New Roman" w:cs="Times New Roman" w:eastAsia="Times New Roman" w:hAnsi="Times New Roman"/>
                <w:sz w:val="22"/>
                <w:szCs w:val="22"/>
              </w:rPr>
              <w:t xml:space="preserve">  b.   Bahwa PT Equity Life Indonesia selaku perusahaan asuransi jiwa memproses data pribadi nasabah dalam skala besar secara teratur dan sistematis, termasuk data pribadi bersifat spesifik berupa data kesehatan;</w:t>
            </w:r>
          </w:p>
          <w:p>
            <w:pPr>
              <w:spacing w:after="80"/>
            </w:pPr>
            <w:r>
              <w:rPr>
                <w:rFonts w:ascii="Times New Roman" w:cs="Times New Roman" w:eastAsia="Times New Roman" w:hAnsi="Times New Roman"/>
                <w:sz w:val="22"/>
                <w:szCs w:val="22"/>
              </w:rPr>
              <w:t xml:space="preserve">  c.   Bahwa penunjukan Petugas Pelindungan Data Pribadi harus didasarkan atas profesionalitas, pengetahuan hukum pelindungan data pribadi, dan kemampuan teknis sebagaimana dipersyaratkan Pasal 54 ayat (1) Undang-Undang Nomor 27 Tahun 2022;</w:t>
            </w:r>
          </w:p>
          <w:p>
            <w:pPr>
              <w:spacing w:after="80"/>
            </w:pPr>
            <w:r>
              <w:rPr>
                <w:rFonts w:ascii="Times New Roman" w:cs="Times New Roman" w:eastAsia="Times New Roman" w:hAnsi="Times New Roman"/>
                <w:sz w:val="22"/>
                <w:szCs w:val="22"/>
              </w:rPr>
              <w:t xml:space="preserve">  d.   Bahwa sehubungan dengan hal tersebut, Perusahaan perlu menunjuk Petugas Pelindungan Data Pribadi sekaligus mengatur mekanisme independensi, sumber daya, dan perlindungan bagi Petugas dimaksud.</w:t>
            </w:r>
          </w:p>
        </w:tc>
      </w:tr>
    </w:tbl>
    <w:p>
      <w:pPr>
        <w:spacing w:after="120"/>
      </w:pPr>
      <w:r>
        <w:rPr>
          <w:rFonts w:ascii="Times New Roman" w:cs="Times New Roman" w:eastAsia="Times New Roman" w:hAnsi="Times New Roman"/>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1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2"/>
                <w:szCs w:val="22"/>
              </w:rPr>
              <w:t xml:space="preserve">Mengingat</w:t>
            </w:r>
          </w:p>
        </w:tc>
        <w:tc>
          <w:tcPr>
            <w:tcW w:type="dxa" w:w="7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pPr>
            <w:r>
              <w:rPr>
                <w:rFonts w:ascii="Times New Roman" w:cs="Times New Roman" w:eastAsia="Times New Roman" w:hAnsi="Times New Roman"/>
                <w:sz w:val="22"/>
                <w:szCs w:val="22"/>
              </w:rPr>
              <w:t xml:space="preserve">: 1.   Undang-Undang Nomor 27 Tahun 2022 tentang Pelindungan Data Pribadi;</w:t>
            </w:r>
          </w:p>
          <w:p>
            <w:pPr>
              <w:spacing w:after="80"/>
            </w:pPr>
            <w:r>
              <w:rPr>
                <w:rFonts w:ascii="Times New Roman" w:cs="Times New Roman" w:eastAsia="Times New Roman" w:hAnsi="Times New Roman"/>
                <w:sz w:val="22"/>
                <w:szCs w:val="22"/>
              </w:rPr>
              <w:t xml:space="preserve">  2.   Undang-Undang Nomor 40 Tahun 2014 tentang Perasuransian sebagaimana terakhir diubah berdasarkan Undang-Undang Nomor 4 Tahun 2023 tentang Pengembangan dan Penguatan Sektor Keuangan;</w:t>
            </w:r>
          </w:p>
          <w:p>
            <w:pPr>
              <w:spacing w:after="80"/>
            </w:pPr>
            <w:r>
              <w:rPr>
                <w:rFonts w:ascii="Times New Roman" w:cs="Times New Roman" w:eastAsia="Times New Roman" w:hAnsi="Times New Roman"/>
                <w:sz w:val="22"/>
                <w:szCs w:val="22"/>
              </w:rPr>
              <w:t xml:space="preserve">  3.   Peraturan Otoritas Jasa Keuangan Nomor 22 Tahun 2023 tentang Pelindungan Konsumen dan Masyarakat di Sektor Jasa Keuangan;</w:t>
            </w:r>
          </w:p>
          <w:p>
            <w:pPr>
              <w:spacing w:after="80"/>
            </w:pPr>
            <w:r>
              <w:rPr>
                <w:rFonts w:ascii="Times New Roman" w:cs="Times New Roman" w:eastAsia="Times New Roman" w:hAnsi="Times New Roman"/>
                <w:sz w:val="22"/>
                <w:szCs w:val="22"/>
              </w:rPr>
              <w:t xml:space="preserve">  4.   Putusan Mahkamah Konstitusi atas Pasal 53 ayat (1) UU PDP yang memaknai 'dan' menjadi 'dan/atau'.</w:t>
            </w:r>
          </w:p>
        </w:tc>
      </w:tr>
    </w:tbl>
    <w:p>
      <w:pPr>
        <w:spacing w:after="12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b/>
          <w:bCs/>
          <w:sz w:val="22"/>
          <w:szCs w:val="22"/>
        </w:rPr>
        <w:t xml:space="preserve">MEMUTUSKAN:</w:t>
      </w:r>
    </w:p>
    <w:p>
      <w:pPr>
        <w:spacing w:after="200"/>
      </w:pPr>
      <w:r>
        <w:rPr>
          <w:rFonts w:ascii="Times New Roman" w:cs="Times New Roman" w:eastAsia="Times New Roman" w:hAnsi="Times New Roman"/>
          <w:b/>
          <w:bCs/>
          <w:sz w:val="22"/>
          <w:szCs w:val="22"/>
        </w:rPr>
        <w:t xml:space="preserve">Menetapkan  :  SURAT KEPUTUSAN PENUNJUKAN PETUGAS PELINDUNGAN DATA PRIBADI (</w:t>
      </w:r>
      <w:r>
        <w:rPr>
          <w:rFonts w:ascii="Times New Roman" w:cs="Times New Roman" w:eastAsia="Times New Roman" w:hAnsi="Times New Roman"/>
          <w:i/>
          <w:iCs/>
          <w:sz w:val="22"/>
          <w:szCs w:val="22"/>
        </w:rPr>
        <w:t xml:space="preserve">DATA PROTECTION OFFICER</w:t>
      </w:r>
      <w:r>
        <w:rPr>
          <w:rFonts w:ascii="Times New Roman" w:cs="Times New Roman" w:eastAsia="Times New Roman" w:hAnsi="Times New Roman"/>
          <w:b/>
          <w:bCs/>
          <w:sz w:val="22"/>
          <w:szCs w:val="22"/>
        </w:rPr>
        <w:t xml:space="preserve">) PT EQUITY LIFE INDONESIA</w:t>
      </w:r>
    </w:p>
    <w:p>
      <w:pPr>
        <w:pBdr>
          <w:bottom w:val="single" w:color="D9D9D9" w:sz="4" w:space="1"/>
        </w:pBdr>
        <w:spacing w:after="80" w:before="8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p>
      <w:pPr>
        <w:pBdr>
          <w:bottom w:val="single" w:color="D9D9D9" w:sz="4" w:space="4"/>
        </w:pBdr>
        <w:spacing w:after="120"/>
        <w:jc w:val="center"/>
      </w:pPr>
      <w:r>
        <w:rPr>
          <w:rFonts w:ascii="Times New Roman" w:cs="Times New Roman" w:eastAsia="Times New Roman" w:hAnsi="Times New Roman"/>
          <w:b/>
          <w:bCs/>
          <w:sz w:val="22"/>
          <w:szCs w:val="22"/>
        </w:rPr>
        <w:t xml:space="preserve">PASAL 1
</w:t>
      </w:r>
      <w:r>
        <w:rPr>
          <w:rFonts w:ascii="Times New Roman" w:cs="Times New Roman" w:eastAsia="Times New Roman" w:hAnsi="Times New Roman"/>
          <w:sz w:val="22"/>
          <w:szCs w:val="22"/>
        </w:rPr>
        <w:t xml:space="preserve">PENUNJUKAN PETUGAS PELINDUNGAN DATA PRIBADI</w:t>
      </w:r>
    </w:p>
    <w:p>
      <w:pPr>
        <w:spacing w:after="120"/>
      </w:pPr>
      <w:r>
        <w:rPr>
          <w:rFonts w:ascii="Times New Roman" w:cs="Times New Roman" w:eastAsia="Times New Roman" w:hAnsi="Times New Roman"/>
          <w:sz w:val="22"/>
          <w:szCs w:val="22"/>
        </w:rPr>
        <w:t xml:space="preserve">(1)   Menunjuk nama-nama berikut sebagai Petugas Pelindungan Data Pribadi Perusahaan, yang telah memenuhi kualifikasi berupa profesionalitas, pengetahuan hukum pelindungan data pribadi, dan kemampuan teknis sebagaimana dipersyaratkan Pasal 54 ayat (1) Undang-Undang Nomor 27 Tahun 2022:</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960"/>
        <w:gridCol w:w="3480"/>
        <w:gridCol w:w="3000"/>
      </w:tblGrid>
      <w:tr>
        <w:tc>
          <w:tcPr>
            <w:tcW w:type="dxa" w:w="1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center"/>
            </w:pPr>
            <w:r>
              <w:rPr>
                <w:rFonts w:ascii="Times New Roman" w:cs="Times New Roman" w:eastAsia="Times New Roman" w:hAnsi="Times New Roman"/>
                <w:b/>
                <w:bCs/>
                <w:i w:val="false"/>
                <w:iCs w:val="false"/>
                <w:color w:val="FFFFFF"/>
                <w:sz w:val="22"/>
                <w:szCs w:val="22"/>
              </w:rPr>
              <w:t xml:space="preserve">Jabatan</w:t>
            </w:r>
          </w:p>
        </w:tc>
        <w:tc>
          <w:tcPr>
            <w:tcW w:type="dxa" w:w="9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center"/>
            </w:pPr>
            <w:r>
              <w:rPr>
                <w:rFonts w:ascii="Times New Roman" w:cs="Times New Roman" w:eastAsia="Times New Roman" w:hAnsi="Times New Roman"/>
                <w:b/>
                <w:bCs/>
                <w:i w:val="false"/>
                <w:iCs w:val="false"/>
                <w:color w:val="FFFFFF"/>
                <w:sz w:val="22"/>
                <w:szCs w:val="22"/>
              </w:rPr>
              <w:t xml:space="preserve">No.</w:t>
            </w:r>
          </w:p>
        </w:tc>
        <w:tc>
          <w:tcPr>
            <w:tcW w:type="dxa" w:w="348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Nama</w:t>
            </w:r>
          </w:p>
        </w:tc>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Divisi / Fungsi</w:t>
            </w:r>
          </w:p>
        </w:tc>
      </w:tr>
      <w:tr>
        <w:tc>
          <w:tcPr>
            <w:tcW w:type="dxa" w:w="12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top"/>
          </w:tcPr>
          <w:p>
            <w:pPr>
              <w:jc w:val="center"/>
            </w:pPr>
            <w:r>
              <w:rPr>
                <w:rFonts w:ascii="Times New Roman" w:cs="Times New Roman" w:eastAsia="Times New Roman" w:hAnsi="Times New Roman"/>
                <w:b/>
                <w:bCs/>
                <w:i w:val="false"/>
                <w:iCs w:val="false"/>
                <w:color w:val="000000"/>
                <w:sz w:val="22"/>
                <w:szCs w:val="22"/>
              </w:rPr>
              <w:t xml:space="preserve">Ketua</w:t>
            </w:r>
          </w:p>
        </w:tc>
        <w:tc>
          <w:tcPr>
            <w:tcW w:type="dxa" w:w="96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348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2"/>
                <w:szCs w:val="22"/>
              </w:rPr>
              <w:t xml:space="preserve">Endiaz L Arsanto</w:t>
            </w:r>
          </w:p>
        </w:tc>
        <w:tc>
          <w:tcPr>
            <w:tcW w:type="dxa" w:w="3000"/>
            <w:tcBorders>
              <w:top w:val="single" w:color="D9D9D9" w:sz="4"/>
              <w:left w:val="single" w:color="D9D9D9" w:sz="4"/>
              <w:bottom w:val="single" w:color="D9D9D9" w:sz="4"/>
              <w:right w:val="single" w:color="D9D9D9" w:sz="4"/>
            </w:tcBorders>
            <w:shd w:fill="D6E4F0"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Development Security Operations</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Anggota</w:t>
            </w:r>
          </w:p>
        </w:tc>
        <w:tc>
          <w:tcPr>
            <w:tcW w:type="dxa" w:w="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34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Delyawati</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Claim</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3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Lucia Isadora</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Underwriting &amp; NB Institutional</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34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Theresia Agustina</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Business Support</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3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Monika Sari</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Client Service Administration</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34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Daniel Hosea</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Provider Relation</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3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Feisal Laras Sirait</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Legal &amp; Compliance</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34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Ibut Gemantri</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Risk Management</w:t>
            </w:r>
          </w:p>
        </w:tc>
      </w:tr>
      <w:tr>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34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Iman Subarkah</w:t>
            </w:r>
          </w:p>
        </w:tc>
        <w:tc>
          <w:tcPr>
            <w:tcW w:type="dxa" w:w="3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Data Management</w:t>
            </w:r>
          </w:p>
        </w:tc>
      </w:tr>
      <w:tr>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
            </w:r>
          </w:p>
        </w:tc>
        <w:tc>
          <w:tcPr>
            <w:tcW w:type="dxa" w:w="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34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Istauton Dendang</w:t>
            </w:r>
          </w:p>
        </w:tc>
        <w:tc>
          <w:tcPr>
            <w:tcW w:type="dxa" w:w="3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2"/>
                <w:szCs w:val="22"/>
              </w:rPr>
              <w:t xml:space="preserve">Customer Analytics &amp; Insight</w:t>
            </w:r>
          </w:p>
        </w:tc>
      </w:tr>
    </w:tbl>
    <w:p>
      <w:pPr>
        <w:spacing w:after="12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(2)   Petugas-petugas tersebut dalam menjalankan tugasnya secara operasional bertanggung jawab kepada Chief Technology &amp; Information Officer, Direktur Kepatuhan, dan Presiden Direktur.</w:t>
      </w:r>
    </w:p>
    <w:p>
      <w:pPr>
        <w:spacing w:after="80"/>
      </w:pPr>
      <w:r>
        <w:rPr>
          <w:rFonts w:ascii="Times New Roman" w:cs="Times New Roman" w:eastAsia="Times New Roman" w:hAnsi="Times New Roman"/>
          <w:sz w:val="22"/>
          <w:szCs w:val="22"/>
        </w:rPr>
        <w:t xml:space="preserve">(3)   Ketua Petugas Pelindungan Data Pribadi bertanggung jawab dalam memimpin, mengkoordinasikan, dan melaporkan pelaksanaan fungsi pelindungan data pribadi kepada jajaran pimpinan sebagaimana dimaksud pada ayat (2).</w:t>
      </w:r>
    </w:p>
    <w:p>
      <w:pPr>
        <w:spacing w:after="120"/>
      </w:pPr>
      <w:r>
        <w:rPr>
          <w:rFonts w:ascii="Times New Roman" w:cs="Times New Roman" w:eastAsia="Times New Roman" w:hAnsi="Times New Roman"/>
          <w:sz w:val="22"/>
          <w:szCs w:val="22"/>
        </w:rPr>
        <w:t xml:space="preserve"/>
      </w:r>
    </w:p>
    <w:p>
      <w:pPr>
        <w:pBdr>
          <w:bottom w:val="single" w:color="D9D9D9" w:sz="4" w:space="1"/>
        </w:pBdr>
        <w:spacing w:after="80" w:before="8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p>
      <w:pPr>
        <w:pBdr>
          <w:bottom w:val="single" w:color="D9D9D9" w:sz="4" w:space="4"/>
        </w:pBdr>
        <w:spacing w:after="120"/>
        <w:jc w:val="center"/>
      </w:pPr>
      <w:r>
        <w:rPr>
          <w:rFonts w:ascii="Times New Roman" w:cs="Times New Roman" w:eastAsia="Times New Roman" w:hAnsi="Times New Roman"/>
          <w:b/>
          <w:bCs/>
          <w:sz w:val="22"/>
          <w:szCs w:val="22"/>
        </w:rPr>
        <w:t xml:space="preserve">PASAL 2
</w:t>
      </w:r>
      <w:r>
        <w:rPr>
          <w:rFonts w:ascii="Times New Roman" w:cs="Times New Roman" w:eastAsia="Times New Roman" w:hAnsi="Times New Roman"/>
          <w:sz w:val="22"/>
          <w:szCs w:val="22"/>
        </w:rPr>
        <w:t xml:space="preserve">KUALIFIKASI DAN PENGEMBANGAN KOMPETENSI</w:t>
      </w:r>
    </w:p>
    <w:p>
      <w:pPr>
        <w:spacing w:after="80"/>
      </w:pPr>
      <w:r>
        <w:rPr>
          <w:rFonts w:ascii="Times New Roman" w:cs="Times New Roman" w:eastAsia="Times New Roman" w:hAnsi="Times New Roman"/>
          <w:sz w:val="22"/>
          <w:szCs w:val="22"/>
        </w:rPr>
        <w:t xml:space="preserve">(1)   Setiap Petugas Pelindungan Data Pribadi harus memiliki kualifikasi:</w:t>
      </w:r>
    </w:p>
    <w:p>
      <w:pPr>
        <w:pStyle w:val="ListParagraph"/>
        <w:numPr>
          <w:ilvl w:val="0"/>
          <w:numId w:val="2"/>
        </w:numPr>
        <w:spacing w:after="80"/>
      </w:pPr>
      <w:r>
        <w:rPr>
          <w:rFonts w:ascii="Times New Roman" w:cs="Times New Roman" w:eastAsia="Times New Roman" w:hAnsi="Times New Roman"/>
          <w:sz w:val="22"/>
          <w:szCs w:val="22"/>
        </w:rPr>
        <w:t xml:space="preserve">pengetahuan yang memadai mengenai hukum dan praktik pelindungan data pribadi, termasuk Undang-Undang Nomor 27 Tahun 2022;</w:t>
      </w:r>
    </w:p>
    <w:p>
      <w:pPr>
        <w:pStyle w:val="ListParagraph"/>
        <w:numPr>
          <w:ilvl w:val="0"/>
          <w:numId w:val="2"/>
        </w:numPr>
        <w:spacing w:after="80"/>
      </w:pPr>
      <w:r>
        <w:rPr>
          <w:rFonts w:ascii="Times New Roman" w:cs="Times New Roman" w:eastAsia="Times New Roman" w:hAnsi="Times New Roman"/>
          <w:sz w:val="22"/>
          <w:szCs w:val="22"/>
        </w:rPr>
        <w:t xml:space="preserve">pemahaman teknis terhadap sistem pemrosesan data yang dioperasikan oleh Perusahaan; dan</w:t>
      </w:r>
    </w:p>
    <w:p>
      <w:pPr>
        <w:pStyle w:val="ListParagraph"/>
        <w:numPr>
          <w:ilvl w:val="0"/>
          <w:numId w:val="2"/>
        </w:numPr>
        <w:spacing w:after="80"/>
      </w:pPr>
      <w:r>
        <w:rPr>
          <w:rFonts w:ascii="Times New Roman" w:cs="Times New Roman" w:eastAsia="Times New Roman" w:hAnsi="Times New Roman"/>
          <w:sz w:val="22"/>
          <w:szCs w:val="22"/>
        </w:rPr>
        <w:t xml:space="preserve">kemampuan untuk menjalankan tugas-tugas sebagaimana ditetapkan dalam Surat Keputusan ini.</w:t>
      </w:r>
    </w:p>
    <w:p>
      <w:pP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(2)   Perusahaan wajib memfasilitasi Petugas Pelindungan Data Pribadi untuk mengikuti pelatihan dan/atau sertifikasi di bidang pelindungan data pribadi secara berkelanjutan, paling sedikit 1 (satu) kali dalam setahun.</w:t>
      </w:r>
    </w:p>
    <w:p>
      <w:pPr>
        <w:spacing w:after="80"/>
      </w:pPr>
      <w:r>
        <w:rPr>
          <w:rFonts w:ascii="Times New Roman" w:cs="Times New Roman" w:eastAsia="Times New Roman" w:hAnsi="Times New Roman"/>
          <w:sz w:val="22"/>
          <w:szCs w:val="22"/>
        </w:rPr>
        <w:t xml:space="preserve">(3)   Dokumentasi kualifikasi, pelatihan, dan sertifikasi seluruh Petugas Pelindungan Data Pribadi disimpan oleh fungsi Human Capital &amp; Development dan dapat diverifikasi sewaktu-waktu.</w:t>
      </w:r>
    </w:p>
    <w:p>
      <w:pPr>
        <w:spacing w:after="120"/>
      </w:pPr>
      <w:r>
        <w:rPr>
          <w:rFonts w:ascii="Times New Roman" w:cs="Times New Roman" w:eastAsia="Times New Roman" w:hAnsi="Times New Roman"/>
          <w:sz w:val="22"/>
          <w:szCs w:val="22"/>
        </w:rPr>
        <w:t xml:space="preserve"/>
      </w:r>
    </w:p>
    <w:p>
      <w:pPr>
        <w:pBdr>
          <w:bottom w:val="single" w:color="D9D9D9" w:sz="4" w:space="1"/>
        </w:pBdr>
        <w:spacing w:after="80" w:before="8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p>
      <w:pPr>
        <w:pBdr>
          <w:bottom w:val="single" w:color="D9D9D9" w:sz="4" w:space="4"/>
        </w:pBdr>
        <w:spacing w:after="120"/>
        <w:jc w:val="center"/>
      </w:pPr>
      <w:r>
        <w:rPr>
          <w:rFonts w:ascii="Times New Roman" w:cs="Times New Roman" w:eastAsia="Times New Roman" w:hAnsi="Times New Roman"/>
          <w:b/>
          <w:bCs/>
          <w:sz w:val="22"/>
          <w:szCs w:val="22"/>
        </w:rPr>
        <w:t xml:space="preserve">PASAL 3
</w:t>
      </w:r>
      <w:r>
        <w:rPr>
          <w:rFonts w:ascii="Times New Roman" w:cs="Times New Roman" w:eastAsia="Times New Roman" w:hAnsi="Times New Roman"/>
          <w:sz w:val="22"/>
          <w:szCs w:val="22"/>
        </w:rPr>
        <w:t xml:space="preserve">TUGAS DAN TANGGUNG JAWAB</w:t>
      </w:r>
    </w:p>
    <w:p>
      <w:pPr>
        <w:spacing w:after="80"/>
      </w:pPr>
      <w:r>
        <w:rPr>
          <w:rFonts w:ascii="Times New Roman" w:cs="Times New Roman" w:eastAsia="Times New Roman" w:hAnsi="Times New Roman"/>
          <w:sz w:val="22"/>
          <w:szCs w:val="22"/>
        </w:rPr>
        <w:t xml:space="preserve">(1)   Tugas dan tanggung jawab Petugas Pelindungan Data Pribadi meliputi paling sedikit:</w:t>
      </w:r>
    </w:p>
    <w:p>
      <w:pPr>
        <w:pStyle w:val="ListParagraph"/>
        <w:numPr>
          <w:ilvl w:val="0"/>
          <w:numId w:val="2"/>
        </w:numPr>
        <w:spacing w:after="80"/>
      </w:pPr>
      <w:r>
        <w:rPr>
          <w:rFonts w:ascii="Times New Roman" w:cs="Times New Roman" w:eastAsia="Times New Roman" w:hAnsi="Times New Roman"/>
          <w:sz w:val="22"/>
          <w:szCs w:val="22"/>
        </w:rPr>
        <w:t xml:space="preserve">menginformasikan dan memberikan saran kepada Pengendali Data Pribadi atau Prosesor Data Pribadi agar mematuhi ketentuan Undang-Undang Pelindungan Data Pribadi dan peraturan pelaksanaannya;</w:t>
      </w:r>
    </w:p>
    <w:p>
      <w:pPr>
        <w:pStyle w:val="ListParagraph"/>
        <w:numPr>
          <w:ilvl w:val="0"/>
          <w:numId w:val="2"/>
        </w:numPr>
        <w:spacing w:after="80"/>
      </w:pPr>
      <w:r>
        <w:rPr>
          <w:rFonts w:ascii="Times New Roman" w:cs="Times New Roman" w:eastAsia="Times New Roman" w:hAnsi="Times New Roman"/>
          <w:sz w:val="22"/>
          <w:szCs w:val="22"/>
        </w:rPr>
        <w:t xml:space="preserve">memantau dan memastikan kepatuhan terhadap Undang-Undang Pelindungan Data Pribadi serta kebijakan internal Perusahaan terkait pemrosesan data pribadi;</w:t>
      </w:r>
    </w:p>
    <w:p>
      <w:pPr>
        <w:pStyle w:val="ListParagraph"/>
        <w:numPr>
          <w:ilvl w:val="0"/>
          <w:numId w:val="2"/>
        </w:numPr>
        <w:spacing w:after="80"/>
      </w:pPr>
      <w:r>
        <w:rPr>
          <w:rFonts w:ascii="Times New Roman" w:cs="Times New Roman" w:eastAsia="Times New Roman" w:hAnsi="Times New Roman"/>
          <w:sz w:val="22"/>
          <w:szCs w:val="22"/>
        </w:rPr>
        <w:t xml:space="preserve">memimpin pelaksanaan Penilaian Dampak Pelindungan Data Pribadi (Data Protection Impact Assessment/DPIA) sebelum penerapan sistem baru, kebijakan baru, produk baru, atau kerja sama dengan pihak ketiga yang melibatkan pemrosesan data pribadi berisiko tinggi, serta memantau pelaksanaannya;</w:t>
      </w:r>
    </w:p>
    <w:p>
      <w:pPr>
        <w:pStyle w:val="ListParagraph"/>
        <w:numPr>
          <w:ilvl w:val="0"/>
          <w:numId w:val="2"/>
        </w:numPr>
        <w:spacing w:after="80"/>
      </w:pPr>
      <w:r>
        <w:rPr>
          <w:rFonts w:ascii="Times New Roman" w:cs="Times New Roman" w:eastAsia="Times New Roman" w:hAnsi="Times New Roman"/>
          <w:sz w:val="22"/>
          <w:szCs w:val="22"/>
        </w:rPr>
        <w:t xml:space="preserve">berkoordinasi dan bertindak sebagai narahubung resmi Perusahaan untuk isu yang berkaitan dengan pemrosesan data pribadi, baik kepada internal Perusahaan maupun pihak eksternal termasuk Subjek Data dan Lembaga Pengawas Pelindungan Data Pribadi;</w:t>
      </w:r>
    </w:p>
    <w:p>
      <w:pPr>
        <w:pStyle w:val="ListParagraph"/>
        <w:numPr>
          <w:ilvl w:val="0"/>
          <w:numId w:val="2"/>
        </w:numPr>
        <w:spacing w:after="80"/>
      </w:pPr>
      <w:r>
        <w:rPr>
          <w:rFonts w:ascii="Times New Roman" w:cs="Times New Roman" w:eastAsia="Times New Roman" w:hAnsi="Times New Roman"/>
          <w:sz w:val="22"/>
          <w:szCs w:val="22"/>
        </w:rPr>
        <w:t xml:space="preserve">memperhatikan risiko terkait pemrosesan data pribadi dengan mempertimbangkan sifat, ruang lingkup, konteks, dan tujuan pemrosesan;</w:t>
      </w:r>
    </w:p>
    <w:p>
      <w:pPr>
        <w:pStyle w:val="ListParagraph"/>
        <w:numPr>
          <w:ilvl w:val="0"/>
          <w:numId w:val="2"/>
        </w:numPr>
        <w:spacing w:after="80"/>
      </w:pPr>
      <w:r>
        <w:rPr>
          <w:rFonts w:ascii="Times New Roman" w:cs="Times New Roman" w:eastAsia="Times New Roman" w:hAnsi="Times New Roman"/>
          <w:sz w:val="22"/>
          <w:szCs w:val="22"/>
        </w:rPr>
        <w:t xml:space="preserve">membantu Perusahaan merancang dan mengimplementasikan sistem pelindungan data pribadi yang baik, termasuk bekerja sama dengan manajemen dan divisi-divisi terkait untuk memastikan pemrosesan sesuai dengan aturan yang berlaku;</w:t>
      </w:r>
    </w:p>
    <w:p>
      <w:pPr>
        <w:pStyle w:val="ListParagraph"/>
        <w:numPr>
          <w:ilvl w:val="0"/>
          <w:numId w:val="2"/>
        </w:numPr>
        <w:spacing w:after="80"/>
      </w:pPr>
      <w:r>
        <w:rPr>
          <w:rFonts w:ascii="Times New Roman" w:cs="Times New Roman" w:eastAsia="Times New Roman" w:hAnsi="Times New Roman"/>
          <w:sz w:val="22"/>
          <w:szCs w:val="22"/>
        </w:rPr>
        <w:t xml:space="preserve">memimpin penanganan pelanggaran keamanan data pribadi (data breach) sebagaimana diatur dalam Pasal 5 Surat Keputusan ini; dan</w:t>
      </w:r>
    </w:p>
    <w:p>
      <w:pPr>
        <w:pStyle w:val="ListParagraph"/>
        <w:numPr>
          <w:ilvl w:val="0"/>
          <w:numId w:val="2"/>
        </w:numPr>
        <w:spacing w:after="80"/>
      </w:pPr>
      <w:r>
        <w:rPr>
          <w:rFonts w:ascii="Times New Roman" w:cs="Times New Roman" w:eastAsia="Times New Roman" w:hAnsi="Times New Roman"/>
          <w:sz w:val="22"/>
          <w:szCs w:val="22"/>
        </w:rPr>
        <w:t xml:space="preserve">berperan secara independen dalam menjalankan tugasnya serta memberikan saran sesuai dengan keahliannya.</w:t>
      </w:r>
    </w:p>
    <w:p>
      <w:pP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(2)   Segala sesuatu yang terkait dengan pemrosesan Data Pribadi di lingkungan Perusahaan harus melibatkan Petugas Pelindungan Data Pribadi. Perusahaan wajib berkonsultasi dengan Petugas Pelindungan Data Pribadi sebelum mengambil keputusan terhadap pemrosesan Data Pribadi.</w:t>
      </w:r>
    </w:p>
    <w:p>
      <w:pPr>
        <w:spacing w:after="120"/>
      </w:pPr>
      <w:r>
        <w:rPr>
          <w:rFonts w:ascii="Times New Roman" w:cs="Times New Roman" w:eastAsia="Times New Roman" w:hAnsi="Times New Roman"/>
          <w:sz w:val="22"/>
          <w:szCs w:val="22"/>
        </w:rPr>
        <w:t xml:space="preserve"/>
      </w:r>
    </w:p>
    <w:p>
      <w:pPr>
        <w:pBdr>
          <w:bottom w:val="single" w:color="D9D9D9" w:sz="4" w:space="1"/>
        </w:pBdr>
        <w:spacing w:after="80" w:before="8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p>
      <w:pPr>
        <w:pBdr>
          <w:bottom w:val="single" w:color="D9D9D9" w:sz="4" w:space="4"/>
        </w:pBdr>
        <w:spacing w:after="120"/>
        <w:jc w:val="center"/>
      </w:pPr>
      <w:r>
        <w:rPr>
          <w:rFonts w:ascii="Times New Roman" w:cs="Times New Roman" w:eastAsia="Times New Roman" w:hAnsi="Times New Roman"/>
          <w:b/>
          <w:bCs/>
          <w:sz w:val="22"/>
          <w:szCs w:val="22"/>
        </w:rPr>
        <w:t xml:space="preserve">PASAL 4
</w:t>
      </w:r>
      <w:r>
        <w:rPr>
          <w:rFonts w:ascii="Times New Roman" w:cs="Times New Roman" w:eastAsia="Times New Roman" w:hAnsi="Times New Roman"/>
          <w:sz w:val="22"/>
          <w:szCs w:val="22"/>
        </w:rPr>
        <w:t xml:space="preserve">INDEPENDENSI, SUMBER DAYA, DAN PERLINDUNGAN</w:t>
      </w:r>
    </w:p>
    <w:p>
      <w:pPr>
        <w:spacing w:after="60"/>
      </w:pPr>
      <w:r>
        <w:rPr>
          <w:rFonts w:ascii="Times New Roman" w:cs="Times New Roman" w:eastAsia="Times New Roman" w:hAnsi="Times New Roman"/>
          <w:b/>
          <w:bCs/>
          <w:sz w:val="22"/>
          <w:szCs w:val="22"/>
        </w:rPr>
        <w:t xml:space="preserve">Independensi</w:t>
      </w:r>
    </w:p>
    <w:p>
      <w:pPr>
        <w:spacing w:after="80"/>
      </w:pPr>
      <w:r>
        <w:rPr>
          <w:rFonts w:ascii="Times New Roman" w:cs="Times New Roman" w:eastAsia="Times New Roman" w:hAnsi="Times New Roman"/>
          <w:sz w:val="22"/>
          <w:szCs w:val="22"/>
        </w:rPr>
        <w:t xml:space="preserve">(1)   Petugas Pelindungan Data Pribadi dalam menjalankan fungsi pengawasan pelindungan data pribadi bertindak secara independen dan tidak boleh menerima instruksi dari pihak manapun di dalam Perusahaan yang dapat mempengaruhi objektivitas penilaiannya.</w:t>
      </w:r>
    </w:p>
    <w:p>
      <w:pPr>
        <w:spacing w:after="80"/>
      </w:pPr>
      <w:r>
        <w:rPr>
          <w:rFonts w:ascii="Times New Roman" w:cs="Times New Roman" w:eastAsia="Times New Roman" w:hAnsi="Times New Roman"/>
          <w:sz w:val="22"/>
          <w:szCs w:val="22"/>
        </w:rPr>
        <w:t xml:space="preserve">(2)   Apabila terdapat potensi konflik kepentingan dalam pelaksanaan tugas, Petugas Pelindungan Data Pribadi yang bersangkutan wajib mengungkapkan hal tersebut kepada Ketua Petugas Pelindungan Data Pribadi atau Direktur Kepatuhan dan mengambil langkah yang diperlukan untuk menghindari konflik dimaksud.</w:t>
      </w:r>
    </w:p>
    <w:p>
      <w:pPr>
        <w:spacing w:after="120"/>
      </w:pPr>
      <w:r>
        <w:rPr>
          <w:rFonts w:ascii="Times New Roman" w:cs="Times New Roman" w:eastAsia="Times New Roman" w:hAnsi="Times New Roman"/>
          <w:sz w:val="22"/>
          <w:szCs w:val="22"/>
        </w:rPr>
        <w:t xml:space="preserve">(3)   Apabila konflik kepentingan terjadi pada level Ketua, eskalasi dilakukan langsung kepada Presiden Direktur dan/atau Dewan Komisaris.</w:t>
      </w:r>
    </w:p>
    <w:p>
      <w:pPr>
        <w:spacing w:after="60"/>
      </w:pPr>
      <w:r>
        <w:rPr>
          <w:rFonts w:ascii="Times New Roman" w:cs="Times New Roman" w:eastAsia="Times New Roman" w:hAnsi="Times New Roman"/>
          <w:b/>
          <w:bCs/>
          <w:sz w:val="22"/>
          <w:szCs w:val="22"/>
        </w:rPr>
        <w:t xml:space="preserve">Perlindungan dari Sanksi</w:t>
      </w:r>
    </w:p>
    <w:p>
      <w:pPr>
        <w:spacing w:after="80"/>
      </w:pPr>
      <w:r>
        <w:rPr>
          <w:rFonts w:ascii="Times New Roman" w:cs="Times New Roman" w:eastAsia="Times New Roman" w:hAnsi="Times New Roman"/>
          <w:sz w:val="22"/>
          <w:szCs w:val="22"/>
        </w:rPr>
        <w:t xml:space="preserve">(4)   Petugas Pelindungan Data Pribadi tidak dapat diberhentikan dari jabatannya berdasarkan Surat Keputusan ini, diturunkan jabatannya, atau dikenai sanksi dalam bentuk apapun sebagai akibat langsung dari pelaksanaan tugas dan kewenangan pelindungan data pribadi yang diamanatkan dalam Surat Keputusan ini.</w:t>
      </w:r>
    </w:p>
    <w:p>
      <w:pPr>
        <w:spacing w:after="120"/>
      </w:pPr>
      <w:r>
        <w:rPr>
          <w:rFonts w:ascii="Times New Roman" w:cs="Times New Roman" w:eastAsia="Times New Roman" w:hAnsi="Times New Roman"/>
          <w:sz w:val="22"/>
          <w:szCs w:val="22"/>
        </w:rPr>
        <w:t xml:space="preserve">(5)   Apabila terdapat dugaan pelanggaran atas ketentuan ayat (4), Petugas Pelindungan Data Pribadi yang bersangkutan dapat melaporkan hal tersebut kepada Dewan Komisaris dan/atau Komite Audit.</w:t>
      </w:r>
    </w:p>
    <w:p>
      <w:pPr>
        <w:spacing w:after="60"/>
      </w:pPr>
      <w:r>
        <w:rPr>
          <w:rFonts w:ascii="Times New Roman" w:cs="Times New Roman" w:eastAsia="Times New Roman" w:hAnsi="Times New Roman"/>
          <w:b/>
          <w:bCs/>
          <w:sz w:val="22"/>
          <w:szCs w:val="22"/>
        </w:rPr>
        <w:t xml:space="preserve">Sumber Daya dan Akses</w:t>
      </w:r>
    </w:p>
    <w:p>
      <w:pPr>
        <w:spacing w:after="80"/>
      </w:pPr>
      <w:r>
        <w:rPr>
          <w:rFonts w:ascii="Times New Roman" w:cs="Times New Roman" w:eastAsia="Times New Roman" w:hAnsi="Times New Roman"/>
          <w:sz w:val="22"/>
          <w:szCs w:val="22"/>
        </w:rPr>
        <w:t xml:space="preserve">(6)   Perusahaan wajib menyediakan sumber daya yang memadai kepada Petugas Pelindungan Data Pribadi, termasuk:</w:t>
      </w:r>
    </w:p>
    <w:p>
      <w:pPr>
        <w:pStyle w:val="ListParagraph"/>
        <w:numPr>
          <w:ilvl w:val="0"/>
          <w:numId w:val="2"/>
        </w:numPr>
        <w:spacing w:after="80"/>
      </w:pPr>
      <w:r>
        <w:rPr>
          <w:rFonts w:ascii="Times New Roman" w:cs="Times New Roman" w:eastAsia="Times New Roman" w:hAnsi="Times New Roman"/>
          <w:sz w:val="22"/>
          <w:szCs w:val="22"/>
        </w:rPr>
        <w:t xml:space="preserve">akses penuh kepada seluruh sistem, basis data, rekaman pemrosesan, dan dokumen yang berkaitan dengan kegiatan pemrosesan data pribadi;</w:t>
      </w:r>
    </w:p>
    <w:p>
      <w:pPr>
        <w:pStyle w:val="ListParagraph"/>
        <w:numPr>
          <w:ilvl w:val="0"/>
          <w:numId w:val="2"/>
        </w:numPr>
        <w:spacing w:after="80"/>
      </w:pPr>
      <w:r>
        <w:rPr>
          <w:rFonts w:ascii="Times New Roman" w:cs="Times New Roman" w:eastAsia="Times New Roman" w:hAnsi="Times New Roman"/>
          <w:sz w:val="22"/>
          <w:szCs w:val="22"/>
        </w:rPr>
        <w:t xml:space="preserve">hak untuk berpartisipasi dan hadir dalam rapat serta proses pengambilan keputusan yang berkaitan dengan pemrosesan data pribadi;</w:t>
      </w:r>
    </w:p>
    <w:p>
      <w:pPr>
        <w:pStyle w:val="ListParagraph"/>
        <w:numPr>
          <w:ilvl w:val="0"/>
          <w:numId w:val="2"/>
        </w:numPr>
        <w:spacing w:after="80"/>
      </w:pPr>
      <w:r>
        <w:rPr>
          <w:rFonts w:ascii="Times New Roman" w:cs="Times New Roman" w:eastAsia="Times New Roman" w:hAnsi="Times New Roman"/>
          <w:sz w:val="22"/>
          <w:szCs w:val="22"/>
        </w:rPr>
        <w:t xml:space="preserve">alokasi waktu yang memadai untuk menjalankan tugas Petugas Pelindungan Data Pribadi di samping pekerjaan utamanya; dan</w:t>
      </w:r>
    </w:p>
    <w:p>
      <w:pPr>
        <w:pStyle w:val="ListParagraph"/>
        <w:numPr>
          <w:ilvl w:val="0"/>
          <w:numId w:val="2"/>
        </w:numPr>
        <w:spacing w:after="80"/>
      </w:pPr>
      <w:r>
        <w:rPr>
          <w:rFonts w:ascii="Times New Roman" w:cs="Times New Roman" w:eastAsia="Times New Roman" w:hAnsi="Times New Roman"/>
          <w:sz w:val="22"/>
          <w:szCs w:val="22"/>
        </w:rPr>
        <w:t xml:space="preserve">anggaran operasional yang mencukupi untuk pelaksanaan tugas, termasuk biaya pendidikan, pelatihan, dan sertifikasi berkelanjutan.</w:t>
      </w:r>
    </w:p>
    <w:p>
      <w:pPr>
        <w:spacing w:after="120"/>
      </w:pPr>
      <w:r>
        <w:rPr>
          <w:rFonts w:ascii="Times New Roman" w:cs="Times New Roman" w:eastAsia="Times New Roman" w:hAnsi="Times New Roman"/>
          <w:sz w:val="22"/>
          <w:szCs w:val="22"/>
        </w:rPr>
        <w:t xml:space="preserve"/>
      </w:r>
    </w:p>
    <w:p>
      <w:pPr>
        <w:pBdr>
          <w:bottom w:val="single" w:color="D9D9D9" w:sz="4" w:space="1"/>
        </w:pBdr>
        <w:spacing w:after="80" w:before="8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p>
      <w:pPr>
        <w:pBdr>
          <w:bottom w:val="single" w:color="D9D9D9" w:sz="4" w:space="4"/>
        </w:pBdr>
        <w:spacing w:after="120"/>
        <w:jc w:val="center"/>
      </w:pPr>
      <w:r>
        <w:rPr>
          <w:rFonts w:ascii="Times New Roman" w:cs="Times New Roman" w:eastAsia="Times New Roman" w:hAnsi="Times New Roman"/>
          <w:b/>
          <w:bCs/>
          <w:sz w:val="22"/>
          <w:szCs w:val="22"/>
        </w:rPr>
        <w:t xml:space="preserve">PASAL 5
</w:t>
      </w:r>
      <w:r>
        <w:rPr>
          <w:rFonts w:ascii="Times New Roman" w:cs="Times New Roman" w:eastAsia="Times New Roman" w:hAnsi="Times New Roman"/>
          <w:sz w:val="22"/>
          <w:szCs w:val="22"/>
        </w:rPr>
        <w:t xml:space="preserve">PROSEDUR RESPONS PELANGGARAN KEAMANAN DATA PRIBADI</w:t>
      </w:r>
    </w:p>
    <w:p>
      <w:pPr>
        <w:spacing w:after="80"/>
      </w:pPr>
      <w:r>
        <w:rPr>
          <w:rFonts w:ascii="Times New Roman" w:cs="Times New Roman" w:eastAsia="Times New Roman" w:hAnsi="Times New Roman"/>
          <w:sz w:val="22"/>
          <w:szCs w:val="22"/>
        </w:rPr>
        <w:t xml:space="preserve">(1)   Dalam hal terjadi atau diduga terjadi pelanggaran keamanan data pribadi (data breach), berlaku prosedur berikut:</w:t>
      </w:r>
    </w:p>
    <w:p>
      <w:pPr>
        <w:pStyle w:val="ListParagraph"/>
        <w:numPr>
          <w:ilvl w:val="0"/>
          <w:numId w:val="2"/>
        </w:numPr>
        <w:spacing w:after="80"/>
      </w:pPr>
      <w:r>
        <w:rPr>
          <w:rFonts w:ascii="Times New Roman" w:cs="Times New Roman" w:eastAsia="Times New Roman" w:hAnsi="Times New Roman"/>
          <w:sz w:val="22"/>
          <w:szCs w:val="22"/>
        </w:rPr>
        <w:t xml:space="preserve">Unit atau divisi yang mendeteksi atau menduga terjadinya pelanggaran wajib segera menotifikasi Ketua Petugas Pelindungan Data Pribadi paling lambat 1 x 24 (satu kali dua puluh empat) jam sejak terdeteksinya kejadian;</w:t>
      </w:r>
    </w:p>
    <w:p>
      <w:pPr>
        <w:pStyle w:val="ListParagraph"/>
        <w:numPr>
          <w:ilvl w:val="0"/>
          <w:numId w:val="2"/>
        </w:numPr>
        <w:spacing w:after="80"/>
      </w:pPr>
      <w:r>
        <w:rPr>
          <w:rFonts w:ascii="Times New Roman" w:cs="Times New Roman" w:eastAsia="Times New Roman" w:hAnsi="Times New Roman"/>
          <w:sz w:val="22"/>
          <w:szCs w:val="22"/>
        </w:rPr>
        <w:t xml:space="preserve">Petugas Pelindungan Data Pribadi segera memimpin investigasi internal untuk menentukan ruang lingkup, dampak, dan penyebab pelanggaran;</w:t>
      </w:r>
    </w:p>
    <w:p>
      <w:pPr>
        <w:pStyle w:val="ListParagraph"/>
        <w:numPr>
          <w:ilvl w:val="0"/>
          <w:numId w:val="2"/>
        </w:numPr>
        <w:spacing w:after="80"/>
      </w:pPr>
      <w:r>
        <w:rPr>
          <w:rFonts w:ascii="Times New Roman" w:cs="Times New Roman" w:eastAsia="Times New Roman" w:hAnsi="Times New Roman"/>
          <w:sz w:val="22"/>
          <w:szCs w:val="22"/>
        </w:rPr>
        <w:t xml:space="preserve">Petugas Pelindungan Data Pribadi menyampaikan laporan kepada Lembaga Pengawas Pelindungan Data Pribadi paling lambat 14 (empat belas) hari kerja sejak Perusahaan mengetahui terjadinya pelanggaran, sebagaimana diamanatkan Pasal 46 Undang-Undang Nomor 27 Tahun 2022;</w:t>
      </w:r>
    </w:p>
    <w:p>
      <w:pPr>
        <w:pStyle w:val="ListParagraph"/>
        <w:numPr>
          <w:ilvl w:val="0"/>
          <w:numId w:val="2"/>
        </w:numPr>
        <w:spacing w:after="80"/>
      </w:pPr>
      <w:r>
        <w:rPr>
          <w:rFonts w:ascii="Times New Roman" w:cs="Times New Roman" w:eastAsia="Times New Roman" w:hAnsi="Times New Roman"/>
          <w:sz w:val="22"/>
          <w:szCs w:val="22"/>
        </w:rPr>
        <w:t xml:space="preserve">Apabila pelanggaran berpotensi menimbulkan risiko nyata bagi Subjek Data, Petugas Pelindungan Data Pribadi berkoordinasi dengan manajemen untuk melakukan notifikasi kepada Subjek Data yang terdampak; dan</w:t>
      </w:r>
    </w:p>
    <w:p>
      <w:pPr>
        <w:pStyle w:val="ListParagraph"/>
        <w:numPr>
          <w:ilvl w:val="0"/>
          <w:numId w:val="2"/>
        </w:numPr>
        <w:spacing w:after="80"/>
      </w:pPr>
      <w:r>
        <w:rPr>
          <w:rFonts w:ascii="Times New Roman" w:cs="Times New Roman" w:eastAsia="Times New Roman" w:hAnsi="Times New Roman"/>
          <w:sz w:val="22"/>
          <w:szCs w:val="22"/>
        </w:rPr>
        <w:t xml:space="preserve">Seluruh dokumentasi proses respons pelanggaran, termasuk hasil investigasi dan tindakan perbaikan, disimpan sekurang-kurangnya selama 5 (lima) tahun.</w:t>
      </w:r>
    </w:p>
    <w:p>
      <w:pP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(2)   Petugas Pelindungan Data Pribadi wajib menyusun dan memperbarui secara berkala Standar Prosedur Operasional (SOP) Respons Pelanggaran Data Pribadi sebagai panduan teknis pelaksanaan prosedur sebagaimana dimaksud pada ayat (1).</w:t>
      </w:r>
    </w:p>
    <w:p>
      <w:pPr>
        <w:spacing w:after="120"/>
      </w:pPr>
      <w:r>
        <w:rPr>
          <w:rFonts w:ascii="Times New Roman" w:cs="Times New Roman" w:eastAsia="Times New Roman" w:hAnsi="Times New Roman"/>
          <w:sz w:val="22"/>
          <w:szCs w:val="22"/>
        </w:rPr>
        <w:t xml:space="preserve"/>
      </w:r>
    </w:p>
    <w:p>
      <w:pPr>
        <w:pBdr>
          <w:bottom w:val="single" w:color="D9D9D9" w:sz="4" w:space="1"/>
        </w:pBdr>
        <w:spacing w:after="80" w:before="8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p>
      <w:pPr>
        <w:pBdr>
          <w:bottom w:val="single" w:color="D9D9D9" w:sz="4" w:space="4"/>
        </w:pBdr>
        <w:spacing w:after="120"/>
        <w:jc w:val="center"/>
      </w:pPr>
      <w:r>
        <w:rPr>
          <w:rFonts w:ascii="Times New Roman" w:cs="Times New Roman" w:eastAsia="Times New Roman" w:hAnsi="Times New Roman"/>
          <w:b/>
          <w:bCs/>
          <w:sz w:val="22"/>
          <w:szCs w:val="22"/>
        </w:rPr>
        <w:t xml:space="preserve">PASAL 6
</w:t>
      </w:r>
      <w:r>
        <w:rPr>
          <w:rFonts w:ascii="Times New Roman" w:cs="Times New Roman" w:eastAsia="Times New Roman" w:hAnsi="Times New Roman"/>
          <w:sz w:val="22"/>
          <w:szCs w:val="22"/>
        </w:rPr>
        <w:t xml:space="preserve">KOORDINASI DENGAN LEMBAGA PENGAWAS</w:t>
      </w:r>
    </w:p>
    <w:p>
      <w:pPr>
        <w:spacing w:after="80"/>
      </w:pPr>
      <w:r>
        <w:rPr>
          <w:rFonts w:ascii="Times New Roman" w:cs="Times New Roman" w:eastAsia="Times New Roman" w:hAnsi="Times New Roman"/>
          <w:sz w:val="22"/>
          <w:szCs w:val="22"/>
        </w:rPr>
        <w:t xml:space="preserve">(1)   Ketua Petugas Pelindungan Data Pribadi merupakan titik kontak resmi (contact point) Perusahaan dengan Lembaga Pengawas Pelindungan Data Pribadi sebagaimana dimaksud dalam Undang-Undang Nomor 27 Tahun 2022.</w:t>
      </w:r>
    </w:p>
    <w:p>
      <w:pPr>
        <w:spacing w:after="80"/>
      </w:pPr>
      <w:r>
        <w:rPr>
          <w:rFonts w:ascii="Times New Roman" w:cs="Times New Roman" w:eastAsia="Times New Roman" w:hAnsi="Times New Roman"/>
          <w:sz w:val="22"/>
          <w:szCs w:val="22"/>
        </w:rPr>
        <w:t xml:space="preserve">(2)   Perusahaan wajib mendaftarkan dan/atau mengumumkan identitas serta informasi kontak Ketua Petugas Pelindungan Data Pribadi kepada Lembaga Pengawas Pelindungan Data Pribadi segera setelah lembaga tersebut terbentuk sesuai amanat Undang-Undang.</w:t>
      </w:r>
    </w:p>
    <w:p>
      <w:pPr>
        <w:spacing w:after="80"/>
      </w:pPr>
      <w:r>
        <w:rPr>
          <w:rFonts w:ascii="Times New Roman" w:cs="Times New Roman" w:eastAsia="Times New Roman" w:hAnsi="Times New Roman"/>
          <w:sz w:val="22"/>
          <w:szCs w:val="22"/>
        </w:rPr>
        <w:t xml:space="preserve">(3)   Perusahaan menyediakan saluran komunikasi yang dapat diakses oleh Subjek Data dan Otoritas Jasa Keuangan terkait pertanyaan atau pengaduan mengenai pemrosesan data pribadi melalui Petugas Pelindungan Data Pribadi.</w:t>
      </w:r>
    </w:p>
    <w:p>
      <w:pPr>
        <w:spacing w:after="120"/>
      </w:pPr>
      <w:r>
        <w:rPr>
          <w:rFonts w:ascii="Times New Roman" w:cs="Times New Roman" w:eastAsia="Times New Roman" w:hAnsi="Times New Roman"/>
          <w:sz w:val="22"/>
          <w:szCs w:val="22"/>
        </w:rPr>
        <w:t xml:space="preserve"/>
      </w:r>
    </w:p>
    <w:p>
      <w:pPr>
        <w:pBdr>
          <w:bottom w:val="single" w:color="D9D9D9" w:sz="4" w:space="1"/>
        </w:pBdr>
        <w:spacing w:after="80" w:before="8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p>
      <w:pPr>
        <w:pBdr>
          <w:bottom w:val="single" w:color="D9D9D9" w:sz="4" w:space="4"/>
        </w:pBdr>
        <w:spacing w:after="120"/>
        <w:jc w:val="center"/>
      </w:pPr>
      <w:r>
        <w:rPr>
          <w:rFonts w:ascii="Times New Roman" w:cs="Times New Roman" w:eastAsia="Times New Roman" w:hAnsi="Times New Roman"/>
          <w:b/>
          <w:bCs/>
          <w:sz w:val="22"/>
          <w:szCs w:val="22"/>
        </w:rPr>
        <w:t xml:space="preserve">PASAL 7
</w:t>
      </w:r>
      <w:r>
        <w:rPr>
          <w:rFonts w:ascii="Times New Roman" w:cs="Times New Roman" w:eastAsia="Times New Roman" w:hAnsi="Times New Roman"/>
          <w:sz w:val="22"/>
          <w:szCs w:val="22"/>
        </w:rPr>
        <w:t xml:space="preserve">PELAPORAN DAN EVALUASI BERKALA</w:t>
      </w:r>
    </w:p>
    <w:p>
      <w:pPr>
        <w:spacing w:after="80"/>
      </w:pPr>
      <w:r>
        <w:rPr>
          <w:rFonts w:ascii="Times New Roman" w:cs="Times New Roman" w:eastAsia="Times New Roman" w:hAnsi="Times New Roman"/>
          <w:sz w:val="22"/>
          <w:szCs w:val="22"/>
        </w:rPr>
        <w:t xml:space="preserve">(1)   Petugas Pelindungan Data Pribadi menyampaikan laporan tertulis mengenai status kepatuhan pelindungan data pribadi kepada Presiden Direktur dan Direktur Kepatuhan paling sedikit 1 (satu) kali dalam setahun.</w:t>
      </w:r>
    </w:p>
    <w:p>
      <w:pPr>
        <w:spacing w:after="80"/>
      </w:pPr>
      <w:r>
        <w:rPr>
          <w:rFonts w:ascii="Times New Roman" w:cs="Times New Roman" w:eastAsia="Times New Roman" w:hAnsi="Times New Roman"/>
          <w:sz w:val="22"/>
          <w:szCs w:val="22"/>
        </w:rPr>
        <w:t xml:space="preserve">(2)   Laporan sebagaimana dimaksud pada ayat (1) mencakup paling sedikit:</w:t>
      </w:r>
    </w:p>
    <w:p>
      <w:pPr>
        <w:pStyle w:val="ListParagraph"/>
        <w:numPr>
          <w:ilvl w:val="0"/>
          <w:numId w:val="2"/>
        </w:numPr>
        <w:spacing w:after="80"/>
      </w:pPr>
      <w:r>
        <w:rPr>
          <w:rFonts w:ascii="Times New Roman" w:cs="Times New Roman" w:eastAsia="Times New Roman" w:hAnsi="Times New Roman"/>
          <w:sz w:val="22"/>
          <w:szCs w:val="22"/>
        </w:rPr>
        <w:t xml:space="preserve">status kepatuhan terhadap Undang-Undang Pelindungan Data Pribadi dan peraturan pelaksanaannya;</w:t>
      </w:r>
    </w:p>
    <w:p>
      <w:pPr>
        <w:pStyle w:val="ListParagraph"/>
        <w:numPr>
          <w:ilvl w:val="0"/>
          <w:numId w:val="2"/>
        </w:numPr>
        <w:spacing w:after="80"/>
      </w:pPr>
      <w:r>
        <w:rPr>
          <w:rFonts w:ascii="Times New Roman" w:cs="Times New Roman" w:eastAsia="Times New Roman" w:hAnsi="Times New Roman"/>
          <w:sz w:val="22"/>
          <w:szCs w:val="22"/>
        </w:rPr>
        <w:t xml:space="preserve">rekapitulasi kegiatan pemrosesan data pribadi dan risiko yang teridentifikasi;</w:t>
      </w:r>
    </w:p>
    <w:p>
      <w:pPr>
        <w:pStyle w:val="ListParagraph"/>
        <w:numPr>
          <w:ilvl w:val="0"/>
          <w:numId w:val="2"/>
        </w:numPr>
        <w:spacing w:after="80"/>
      </w:pPr>
      <w:r>
        <w:rPr>
          <w:rFonts w:ascii="Times New Roman" w:cs="Times New Roman" w:eastAsia="Times New Roman" w:hAnsi="Times New Roman"/>
          <w:sz w:val="22"/>
          <w:szCs w:val="22"/>
        </w:rPr>
        <w:t xml:space="preserve">hasil DPIA yang telah dilaksanakan;</w:t>
      </w:r>
    </w:p>
    <w:p>
      <w:pPr>
        <w:pStyle w:val="ListParagraph"/>
        <w:numPr>
          <w:ilvl w:val="0"/>
          <w:numId w:val="2"/>
        </w:numPr>
        <w:spacing w:after="80"/>
      </w:pPr>
      <w:r>
        <w:rPr>
          <w:rFonts w:ascii="Times New Roman" w:cs="Times New Roman" w:eastAsia="Times New Roman" w:hAnsi="Times New Roman"/>
          <w:sz w:val="22"/>
          <w:szCs w:val="22"/>
        </w:rPr>
        <w:t xml:space="preserve">insiden atau pelanggaran data yang terjadi beserta tindakan korektifnya; dan</w:t>
      </w:r>
    </w:p>
    <w:p>
      <w:pPr>
        <w:pStyle w:val="ListParagraph"/>
        <w:numPr>
          <w:ilvl w:val="0"/>
          <w:numId w:val="2"/>
        </w:numPr>
        <w:spacing w:after="80"/>
      </w:pPr>
      <w:r>
        <w:rPr>
          <w:rFonts w:ascii="Times New Roman" w:cs="Times New Roman" w:eastAsia="Times New Roman" w:hAnsi="Times New Roman"/>
          <w:sz w:val="22"/>
          <w:szCs w:val="22"/>
        </w:rPr>
        <w:t xml:space="preserve">rekomendasi perbaikan program pelindungan data pribadi.</w:t>
      </w:r>
    </w:p>
    <w:p>
      <w:pP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(3)   Surat Keputusan ini ditinjau kembali oleh Petugas Pelindungan Data Pribadi bersama fungsi Legal &amp; Compliance paling sedikit 1 (satu) kali dalam setahun, atau sewaktu-waktu apabila terdapat perubahan peraturan perundang-undangan, perubahan struktur organisasi yang relevan, atau kejadian signifikan terkait data pribadi di Perusahaan.</w:t>
      </w:r>
    </w:p>
    <w:p>
      <w:pPr>
        <w:spacing w:after="120"/>
      </w:pPr>
      <w:r>
        <w:rPr>
          <w:rFonts w:ascii="Times New Roman" w:cs="Times New Roman" w:eastAsia="Times New Roman" w:hAnsi="Times New Roman"/>
          <w:sz w:val="22"/>
          <w:szCs w:val="22"/>
        </w:rPr>
        <w:t xml:space="preserve"/>
      </w:r>
    </w:p>
    <w:p>
      <w:pPr>
        <w:pBdr>
          <w:bottom w:val="single" w:color="D9D9D9" w:sz="4" w:space="1"/>
        </w:pBdr>
        <w:spacing w:after="80" w:before="80"/>
      </w:pPr>
      <w:r>
        <w:rPr>
          <w:rFonts w:ascii="Times New Roman" w:cs="Times New Roman" w:eastAsia="Times New Roman" w:hAnsi="Times New Roman"/>
          <w:sz w:val="22"/>
          <w:szCs w:val="22"/>
        </w:rPr>
        <w:t xml:space="preserve"/>
      </w:r>
    </w:p>
    <w:p>
      <w:pPr>
        <w:spacing w:after="120"/>
      </w:pPr>
      <w:r>
        <w:rPr>
          <w:rFonts w:ascii="Times New Roman" w:cs="Times New Roman" w:eastAsia="Times New Roman" w:hAnsi="Times New Roman"/>
          <w:sz w:val="22"/>
          <w:szCs w:val="22"/>
        </w:rPr>
        <w:t xml:space="preserve"/>
      </w:r>
    </w:p>
    <w:p>
      <w:pPr>
        <w:pBdr>
          <w:bottom w:val="single" w:color="D9D9D9" w:sz="4" w:space="4"/>
        </w:pBdr>
        <w:spacing w:after="120"/>
        <w:jc w:val="center"/>
      </w:pPr>
      <w:r>
        <w:rPr>
          <w:rFonts w:ascii="Times New Roman" w:cs="Times New Roman" w:eastAsia="Times New Roman" w:hAnsi="Times New Roman"/>
          <w:b/>
          <w:bCs/>
          <w:sz w:val="22"/>
          <w:szCs w:val="22"/>
        </w:rPr>
        <w:t xml:space="preserve">PASAL 8
</w:t>
      </w:r>
      <w:r>
        <w:rPr>
          <w:rFonts w:ascii="Times New Roman" w:cs="Times New Roman" w:eastAsia="Times New Roman" w:hAnsi="Times New Roman"/>
          <w:sz w:val="22"/>
          <w:szCs w:val="22"/>
        </w:rPr>
        <w:t xml:space="preserve">KETENTUAN PENUTUP</w:t>
      </w:r>
    </w:p>
    <w:p>
      <w:pPr>
        <w:spacing w:after="80"/>
      </w:pPr>
      <w:r>
        <w:rPr>
          <w:rFonts w:ascii="Times New Roman" w:cs="Times New Roman" w:eastAsia="Times New Roman" w:hAnsi="Times New Roman"/>
          <w:sz w:val="22"/>
          <w:szCs w:val="22"/>
        </w:rPr>
        <w:t xml:space="preserve">(1)   Surat Keputusan ini berlaku sejak tanggal ditetapkan.</w:t>
      </w:r>
    </w:p>
    <w:p>
      <w:pPr>
        <w:spacing w:after="80"/>
      </w:pPr>
      <w:r>
        <w:rPr>
          <w:rFonts w:ascii="Times New Roman" w:cs="Times New Roman" w:eastAsia="Times New Roman" w:hAnsi="Times New Roman"/>
          <w:sz w:val="22"/>
          <w:szCs w:val="22"/>
        </w:rPr>
        <w:t xml:space="preserve">(2)   Dengan ditetapkannya Surat Keputusan ini, maka Surat Keputusan Nomor 078/HCD-SK/X/2024 tentang Penunjukan Petugas Pelindungan Data Pribadi (</w:t>
      </w:r>
      <w:r>
        <w:rPr>
          <w:rFonts w:ascii="Times New Roman" w:cs="Times New Roman" w:eastAsia="Times New Roman" w:hAnsi="Times New Roman"/>
          <w:i/>
          <w:iCs/>
          <w:sz w:val="22"/>
          <w:szCs w:val="22"/>
        </w:rPr>
        <w:t xml:space="preserve">Data Protection Officer</w:t>
      </w:r>
      <w:r>
        <w:rPr>
          <w:rFonts w:ascii="Times New Roman" w:cs="Times New Roman" w:eastAsia="Times New Roman" w:hAnsi="Times New Roman"/>
          <w:sz w:val="22"/>
          <w:szCs w:val="22"/>
        </w:rPr>
        <w:t xml:space="preserve">) PT Equity Life Indonesia dinyatakan tidak berlaku lagi.</w:t>
      </w:r>
    </w:p>
    <w:p>
      <w:pPr>
        <w:spacing w:after="80"/>
      </w:pPr>
      <w:r>
        <w:rPr>
          <w:rFonts w:ascii="Times New Roman" w:cs="Times New Roman" w:eastAsia="Times New Roman" w:hAnsi="Times New Roman"/>
          <w:sz w:val="22"/>
          <w:szCs w:val="22"/>
        </w:rPr>
        <w:t xml:space="preserve">(3)   Hal-hal yang belum diatur dalam Surat Keputusan ini akan diatur lebih lanjut dalam kebijakan dan/atau Standar Prosedur Operasional yang diterbitkan oleh Petugas Pelindungan Data Pribadi dan disetujui oleh Direktur Kepatuhan.</w:t>
      </w:r>
    </w:p>
    <w:p>
      <w:pPr>
        <w:spacing w:after="200"/>
      </w:pPr>
      <w:r>
        <w:rPr>
          <w:rFonts w:ascii="Times New Roman" w:cs="Times New Roman" w:eastAsia="Times New Roman" w:hAnsi="Times New Roman"/>
          <w:sz w:val="22"/>
          <w:szCs w:val="22"/>
        </w:rPr>
        <w:t xml:space="preserve"/>
      </w:r>
    </w:p>
    <w:p>
      <w:pPr>
        <w:spacing w:after="200"/>
      </w:pPr>
      <w:r>
        <w:rPr>
          <w:rFonts w:ascii="Times New Roman" w:cs="Times New Roman" w:eastAsia="Times New Roman" w:hAnsi="Times New Roman"/>
          <w:b/>
          <w:bCs/>
          <w:sz w:val="22"/>
          <w:szCs w:val="22"/>
        </w:rPr>
        <w:t xml:space="preserve">Ditetapkan di  :  Jakarta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     Pada tanggal  :  16 Maret 2026</w:t>
      </w:r>
    </w:p>
    <w:p>
      <w:pPr>
        <w:spacing w:after="40"/>
        <w:jc w:val="center"/>
      </w:pPr>
      <w:r>
        <w:rPr>
          <w:rFonts w:ascii="Times New Roman" w:cs="Times New Roman" w:eastAsia="Times New Roman" w:hAnsi="Times New Roman"/>
          <w:b/>
          <w:bCs/>
          <w:sz w:val="22"/>
          <w:szCs w:val="22"/>
        </w:rPr>
        <w:t xml:space="preserve">PT EQUITY LIFE INDONESIA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800"/>
            </w:pPr>
            <w:r>
              <w:rPr>
                <w:rFonts w:ascii="Times New Roman" w:cs="Times New Roman" w:eastAsia="Times New Roman" w:hAnsi="Times New Roman"/>
                <w:sz w:val="22"/>
                <w:szCs w:val="22"/>
              </w:rPr>
              <w:t xml:space="preserve"/>
            </w:r>
          </w:p>
          <w:p>
            <w:pPr>
              <w:pBdr>
                <w:top w:val="single" w:color="000000" w:sz="4" w:space="4"/>
              </w:pBdr>
              <w:spacing w:after="40"/>
              <w:jc w:val="center"/>
            </w:pPr>
            <w:r>
              <w:rPr>
                <w:rFonts w:ascii="Times New Roman" w:cs="Times New Roman" w:eastAsia="Times New Roman" w:hAnsi="Times New Roman"/>
                <w:b/>
                <w:bCs/>
                <w:sz w:val="22"/>
                <w:szCs w:val="22"/>
                <w:u w:val="single"/>
              </w:rPr>
              <w:t xml:space="preserve">Harjanto Tanuwidjaja</w:t>
            </w:r>
          </w:p>
          <w:p>
            <w:pPr>
              <w:spacing w:after="0"/>
              <w:jc w:val="center"/>
            </w:pPr>
            <w:r>
              <w:rPr>
                <w:rFonts w:ascii="Times New Roman" w:cs="Times New Roman" w:eastAsia="Times New Roman" w:hAnsi="Times New Roman"/>
                <w:sz w:val="22"/>
                <w:szCs w:val="22"/>
              </w:rPr>
              <w:t xml:space="preserve">Presiden Direktur</w:t>
            </w:r>
          </w:p>
        </w:tc>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1800"/>
            </w:pPr>
            <w:r>
              <w:rPr>
                <w:rFonts w:ascii="Times New Roman" w:cs="Times New Roman" w:eastAsia="Times New Roman" w:hAnsi="Times New Roman"/>
                <w:sz w:val="22"/>
                <w:szCs w:val="22"/>
              </w:rPr>
              <w:t xml:space="preserve"/>
            </w:r>
          </w:p>
          <w:p>
            <w:pPr>
              <w:pBdr>
                <w:top w:val="single" w:color="000000" w:sz="4" w:space="4"/>
              </w:pBdr>
              <w:spacing w:after="40"/>
              <w:jc w:val="center"/>
            </w:pPr>
            <w:r>
              <w:rPr>
                <w:rFonts w:ascii="Times New Roman" w:cs="Times New Roman" w:eastAsia="Times New Roman" w:hAnsi="Times New Roman"/>
                <w:b/>
                <w:bCs/>
                <w:sz w:val="22"/>
                <w:szCs w:val="22"/>
                <w:u w:val="single"/>
              </w:rPr>
              <w:t xml:space="preserve">Christinawati Hadiman</w:t>
            </w:r>
          </w:p>
          <w:p>
            <w:pPr>
              <w:spacing w:after="0"/>
              <w:jc w:val="center"/>
            </w:pPr>
            <w:r>
              <w:rPr>
                <w:rFonts w:ascii="Times New Roman" w:cs="Times New Roman" w:eastAsia="Times New Roman" w:hAnsi="Times New Roman"/>
                <w:sz w:val="22"/>
                <w:szCs w:val="22"/>
              </w:rPr>
              <w:t xml:space="preserve">Direktur</w:t>
            </w:r>
          </w:p>
        </w:tc>
      </w:tr>
    </w:tbl>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pPr>
    <w:r>
      <w:rPr>
        <w:rFonts w:ascii="Times New Roman" w:cs="Times New Roman" w:eastAsia="Times New Roman" w:hAnsi="Times New Roman"/>
        <w:i/>
        <w:iCs/>
        <w:color w:val="888888"/>
        <w:sz w:val="18"/>
        <w:szCs w:val="18"/>
      </w:rPr>
      <w:t xml:space="preserve">SK No. XXX/HCD-SK/III/2026 (Rev.1) — Petugas Pelindungan Data Pribadi — PT Equity Life Indonesia     Hal.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lvl w:ilvl="1" w15:tentative="1">
      <w:start w:val="1"/>
      <w:numFmt w:val="lowerRoman"/>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2026-03-25T00:29:36.735Z</dcterms:created>
  <dcterms:modified xsi:type="dcterms:W3CDTF">2026-03-25T00:29:36.735Z</dcterms:modified>
</cp:coreProperties>
</file>

<file path=docProps/custom.xml><?xml version="1.0" encoding="utf-8"?>
<Properties xmlns="http://schemas.openxmlformats.org/officeDocument/2006/custom-properties" xmlns:vt="http://schemas.openxmlformats.org/officeDocument/2006/docPropsVTypes"/>
</file>