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PT EQUITY LIFE INDONESIA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AF7D"/>
                <w:sz w:val="20"/>
                <w:szCs w:val="20"/>
              </w:rPr>
              <w:t xml:space="preserve">TEKNOLOGI INFORMASI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FORMULIR MONITORING ELS / HYPERCARE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DE0"/>
                <w:sz w:val="20"/>
                <w:szCs w:val="20"/>
              </w:rPr>
              <w:t xml:space="preserve">Early Life Support &amp; Hypercare Monitoring Form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ELI-FORM-ITS-002  |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v1.0  |  10 Maret 2026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A. IDENTITAS DEPLOYMENT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No. RFC / Change ID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ELI-RFC-YYYY-NNN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Nama Sistem / Aplikasi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Versi yang Di-deploy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e.g. v2.3.1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Go-Live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Mulai ELS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Target Selesai ELS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Minimum 3–5 hari kerja setelah Go-Live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Selesai ELS Aktual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Release Manager / PIC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Engineer On-Call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B. STATUS ELS HARIAN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Isi checklist setiap hari kerja selama periode ELS/Hypercare berlangsung.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200"/>
        <w:gridCol w:w="2000"/>
        <w:gridCol w:w="2260"/>
        <w:gridCol w:w="2000"/>
      </w:tblGrid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Hari ke-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Tanggal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 Sistem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Insiden / Anomali</w:t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Tindakan Corrective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Diverifikasi oleh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Status Sistem: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NORMAL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DEGRADED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CRITICAL   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C. KPI &amp; SLA MONITORING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700"/>
        <w:gridCol w:w="700"/>
        <w:gridCol w:w="700"/>
        <w:gridCol w:w="700"/>
        <w:gridCol w:w="700"/>
        <w:gridCol w:w="100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/ Threshold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Hari 1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Hari 2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Hari 3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Hari 4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Hari 5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Response Time (avg)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≤ baseline +10%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Rate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0.1%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Availability / Uptime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≥ 99.5%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CPU Usage (avg)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75%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Memory Usage (avg)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80%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Throughput (TPS)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≥ baseline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Failed Transactions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 Critical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D. INSIDEN SELAMA ELS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700"/>
        <w:gridCol w:w="1800"/>
        <w:gridCol w:w="1560"/>
        <w:gridCol w:w="1300"/>
        <w:gridCol w:w="700"/>
      </w:tblGrid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Tanggal/Waktu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Deskripsi Singkat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Tindakan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Severity: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P1 – Critical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P2 – High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P3 – Medium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P4 – Low   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E. EVALUASI ROLLBACK TRIGGER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Jika salah satu kondisi berikut terpenuhi, rollback WAJIB dieksekusi segera: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Availability &lt; 95% selama &gt; 15 menit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Error rate &gt; 5% pada transaksi kritikal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Tidak ada rollback plan yang valid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Insiden P1 tidak tertangani dalam 1 jam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Data corruption terdeteksi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Permintaan rollback dari Product Owner / CAB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Keputusan Rollback?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YA / TIDAK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Alasan (jika tidak rollback)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Catatan Tambahan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F. KAPASITAS INFRASTRUKTUR (akhir ELS)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900"/>
        <w:gridCol w:w="1900"/>
        <w:gridCol w:w="2260"/>
      </w:tblGrid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Baseline (sebelum)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Puncak selama ELS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Rata-rata selama ELS</w:t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CPU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Memory (RAM)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Disk I/O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Network Bandwidth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DB Connections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G. FEEDBACK PENGGUNA / BISNIS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Jumlah keluhan user diterima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Kategori keluhan utama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Ringkasan feedback bisnis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Kepuasan pengguna (1–5)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1=Sangat Tidak Puas, 5=Sangat Puas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H. CHECKLIST PENYELESAIAN ELS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Semua insiden P1/P2 sudah resolve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KPI/SLA stabil minimal 3 hari kerja berurutan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Tidak ada outstanding defect kritikal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Capacity dalam batas normal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Dokumentasi insiden diperbarui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Tim BAU sudah di-brief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Knowledge transfer selesai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Runbook operasional diperbarui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PIR dijadwalkan (untuk Major Change)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Persetujuan Product Owner untuk close ELS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D35"/>
          <w:sz w:val="19"/>
          <w:szCs w:val="19"/>
        </w:rPr>
        <w:t xml:space="preserve">Keputusan ELS: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CLOSE — Lanjut ke BAU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PERPANJANG ELS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ESKALASI   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Alasan perpanjangan/eskalasi (jika ada)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Handover BAU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I. PERSETUJUAN &amp; TANDA TANGAN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Release Manager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IT Operations / BAU Lead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Product Owner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Change Advisory Board (CAB)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8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PT Equity Life Indonesia  |  CONFIDENTIAL — Internal Use Only  |  ELI-ITS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8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2D7A4F"/>
        <w:sz w:val="17"/>
        <w:szCs w:val="17"/>
      </w:rPr>
      <w:t xml:space="preserve">ELI-FORM-ITS-002  |  FORMULIR MONITORING ELS / HYPERCARE</w:t>
    </w:r>
    <w:r>
      <w:rPr>
        <w:rFonts w:ascii="Arial" w:cs="Arial" w:eastAsia="Arial" w:hAnsi="Arial"/>
        <w:b w:val="false"/>
        <w:bCs w:val="false"/>
        <w:i w:val="false"/>
        <w:iCs w:val="false"/>
        <w:color w:val="1A1A1A"/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7"/>
        <w:szCs w:val="17"/>
      </w:rPr>
      <w:t xml:space="preserve">Hal.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2026-03-10T21:14:04.109Z</dcterms:created>
  <dcterms:modified xsi:type="dcterms:W3CDTF">2026-03-10T21:14:04.109Z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