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2000"/>
        <w:gridCol w:w="1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Dokumen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ELI-ISMS-DOC-001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ISMS Scope Statement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Maret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/ Restricted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MR, IT Security &amp; Governance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Tujuan Dokumen</w:t>
      </w:r>
    </w:p>
    <w:p>
      <w:pPr>
        <w:spacing w:after="200"/>
      </w:pPr>
      <w:r>
        <w:t xml:space="preserve">Dokumen ini menetapkan ruang lingkup Sistem Manajemen Keamanan Informasi (SMKI/ISMS) PT Equity Life Indonesia sesuai persyaratan ISO/IEC 27001:2022 Clause 4.3. Dokumen ini menjelaskan batasan dan applicability ISMS, termasuk isu internal/eksternal (Clause 4.1), kebutuhan pihak berkepentingan (Clause 4.2), serta interface dan dependensi dengan pihak ketiga.</w:t>
      </w:r>
    </w:p>
    <w:p>
      <w:pPr>
        <w:pStyle w:val="Heading1"/>
      </w:pPr>
      <w:r>
        <w:t xml:space="preserve">2. Ruang Lingkup ISMS</w:t>
      </w:r>
    </w:p>
    <w:p>
      <w:pPr>
        <w:pStyle w:val="Heading2"/>
      </w:pPr>
      <w:r>
        <w:t xml:space="preserve">2.1 Pernyataan Ruang Lingkup (Scope Statement)</w:t>
      </w:r>
    </w:p>
    <w:p>
      <w:pPr>
        <w:spacing w:after="200"/>
      </w:pPr>
      <w:r>
        <w:t xml:space="preserve">Sistem Manajemen Keamanan Informasi PT Equity Life Indonesia mencakup pengelolaan keamanan informasi pada seluruh proses bisnis inti perusahaan asuransi jiwa, meliputi: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Proses penjualan dan distribusi produk asuransi (Individual Business, Institutional Business, Ecosystem)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Proses operasi asuransi: underwriting, penerbitan polis, klaim, dan reasuransi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Proses layanan nasabah (Client Services) dan penanganan keluhan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Pengelolaan infrastruktur teknologi informasi dan pengembangan aplikasi digital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Pengelolaan data dan informasi perusahaan termasuk data pribadi nasabah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Fungsi pendukung: Finance &amp; Accounting, Human Capital, Legal &amp; Compliance, Risk Management</w:t>
      </w:r>
    </w:p>
    <w:p>
      <w:pPr>
        <w:pStyle w:val="Heading2"/>
      </w:pPr>
      <w:r>
        <w:t xml:space="preserve">2.2 Lokasi Fisik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Alamat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Kantor Pusat (Head Office)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[Alamat kantor pusat ELI]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Pusat operasi utama</w:t>
            </w:r>
          </w:p>
        </w:tc>
      </w:tr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 Utama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[Alamat DC]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 center</w:t>
            </w:r>
          </w:p>
        </w:tc>
      </w:tr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 DR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[Alamat DR site]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 site</w:t>
            </w:r>
          </w:p>
        </w:tc>
      </w:tr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Kantor Cabang / Sales Office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[Regional]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Sesuai daftar cabang aktif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Unit Organisasi dalam Ruang Lingkup</w:t>
      </w:r>
    </w:p>
    <w:p>
      <w:pPr>
        <w:spacing w:after="100"/>
      </w:pPr>
      <w:r>
        <w:t xml:space="preserve">Berdasarkan SK No. 008/HCD-SK/III/2026: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Technology &amp; Information Directorate (Digital Solution Development, IT Operation, IT Security &amp; Governance)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Operation Directorate (Underwriting, Claim, Client Services)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Directorate (Distribution Channel, Sales Office, Product Development)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Finance &amp; Investment Directorate (Actuary, Finance &amp; Accounting, Investment)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 Capital Directorate (HC &amp; GA, Procurement)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Directorate (Legal &amp; Compliance, Risk Management)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Audit, CEO Office, dan Komite-komite di bawah President Director</w:t>
      </w:r>
    </w:p>
    <w:p>
      <w:pPr>
        <w:pStyle w:val="Heading2"/>
      </w:pPr>
      <w:r>
        <w:t xml:space="preserve">2.4 Batasan dan Pengecualian (Exclusions)</w:t>
      </w:r>
    </w:p>
    <w:p>
      <w:pPr>
        <w:spacing w:after="200"/>
      </w:pPr>
      <w:r>
        <w:t xml:space="preserve">Tidak ada kontrol Annex A yang dikecualikan dari ruang lingkup ISMS. Seluruh 93 kontrol pada Annex A ISO 27001:2022 applicable dan diimplementasikan sesuai Statement of Applicability (SoA). Apabila ada kontrol yang tidak relevan secara penuh, justifikasi dicantumkan dalam SoA.</w:t>
      </w:r>
    </w:p>
    <w:p>
      <w:pPr>
        <w:pStyle w:val="Heading1"/>
      </w:pPr>
      <w:r>
        <w:t xml:space="preserve">3. Interface dan Dependensi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Pihak Ketiga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Layanan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Keamanan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Service Provider (AWS/Azure)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as a Service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VPN, API, Console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SLA, SOC2 Report, Audit berkala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Aplikasi Core System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Pengembangan &amp; maintenance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VPN, Remote access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NDA, PKS, Code review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Outsource IT Support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helpdesk &amp; infrastructure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On-site &amp; remote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NDA, Background check, SLA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 (OJK)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Pengawasan &amp; pelaporan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 pelaporan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Kepatuhan regulasi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Referensi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ISO/IEC 27001:2022 Clause 4.1, 4.2, 4.3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Pedoman SMKI ISO27001:2022 — PT Equity Life Indonesia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Statement of Applicability (SoA)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 No. 008/HCD-SK/III/2026 — Struktur Organisasi</w:t>
      </w:r>
    </w:p>
    <w:p>
      <w:pPr>
        <w:pStyle w:val="Heading1"/>
      </w:pPr>
      <w:r>
        <w:t xml:space="preserve">5. Persetujuan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Tanda Tangan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Disusun oleh (MR/DC)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Diperiksa oleh (IT Security)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Disetujui oleh (Top Management)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Confidential — PT Equity Life Indonesia</w:t>
    </w:r>
    <w:r>
      <w:rPr>
        <w:rFonts w:ascii="Arial" w:cs="Arial" w:eastAsia="Arial" w:hAnsi="Arial"/>
        <w:color w:val="999999"/>
        <w:sz w:val="14"/>
        <w:szCs w:val="14"/>
      </w:rPr>
      <w:t xml:space="preserve">   |   Halaman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PT Equity Life Indonesia</w:t>
    </w:r>
    <w:r>
      <w:rPr>
        <w:rFonts w:ascii="Arial" w:cs="Arial" w:eastAsia="Arial" w:hAnsi="Arial"/>
        <w:color w:val="666666"/>
        <w:sz w:val="16"/>
        <w:szCs w:val="16"/>
      </w:rPr>
      <w:t xml:space="preserve">   |   ELI-ISMS-DOC-001   |   ISMS Scope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2026-03-21T16:14:22.925Z</dcterms:created>
  <dcterms:modified xsi:type="dcterms:W3CDTF">2026-03-21T16:14:22.926Z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