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0"/>
        <w:gridCol w:w="2400"/>
        <w:gridCol w:w="40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Dokumen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ELI-ISMS-DOC-005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Judul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ISMS Objectives &amp; Plan to Achieve 2026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Maret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27001:2022 Clause 6.2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MR, DC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Sasaran ISMS dan Rencana Pencapaian</w:t>
      </w:r>
    </w:p>
    <w:p>
      <w:pPr>
        <w:spacing w:after="100"/>
      </w:pPr>
      <w:r>
        <w:t xml:space="preserve">Sesuai Clause 6.2 ISO 27001:2022, sasaran keamanan informasi harus mencakup: apa yang akan dicapai, siapa yang bertanggung jawab, kapan akan selesai, sumber daya yang diperlukan, dan bagaimana hasilnya dievaluasi.</w:t>
      </w:r>
    </w:p>
    <w:p>
      <w:pPr>
        <w:spacing w:after="20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400"/>
        <w:gridCol w:w="1200"/>
        <w:gridCol w:w="1100"/>
        <w:gridCol w:w="1000"/>
        <w:gridCol w:w="1300"/>
        <w:gridCol w:w="132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Sasaran Keamanan Informasi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Target Ukur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 Evaluasi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Referensi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Menurunkan jumlah insiden keamanan informasi sebesar 20% dari tahun sebelumnya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Jumlah insiden &lt; 80% dari 2025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Jan-Des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 IT Security, tools monitoring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bulanan oleh IT Security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Completed/On Track/Delayed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insiden bulanan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Terkait Risk Register R-2026-001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Mencapai 100% karyawan lulus security awareness training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completion rate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HC, IT Security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Q1-Q2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 e-learning, trainer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per kuartal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 report, presensi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Clause 7.2, A 6.3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Memastikan RTO &lt; 4 jam untuk sistem kritikal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RTO achieved &lt; 4 jam saat DR test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Infrastructure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site, bandwidth, testing team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test minimal 1x per tahun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 test report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5.29, A 5.30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 major findings pada audit resertifikasi ISO 27001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major NC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MR, All PIC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Waktu persiapan, konsultan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Tracking readiness bulanan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Pre-audit checklist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Clause 9.2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Implementasi DPO &amp; prosedur DSR sesuai UU PDP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DPO ditunjuk, SOP DSR berlaku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Compliance, IT Security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Konsultan legal, training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compliance kuartal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 DPO, SOP DSR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5.34, UU PDP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Meningkatkan patch compliance rate &gt; 95%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 compliance &gt; 95% monthly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Infrastructure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Jan-Des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 management tools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scan report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Vulnerability scan report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8.8, A 8.19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[Sasaran]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[KPI / Target]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[PIC]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[Timeline]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[Resources]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[Evaluasi]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[Evidence]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[Referensi]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Persetujuan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Disusun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Disetujui oleh (Top Management)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— PT Equity Life Indonesia   |   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PT Equity Life Indonesia</w:t>
    </w:r>
    <w:r>
      <w:rPr>
        <w:rFonts w:ascii="Arial" w:cs="Arial" w:eastAsia="Arial" w:hAnsi="Arial"/>
        <w:color w:val="666666"/>
        <w:sz w:val="16"/>
        <w:szCs w:val="16"/>
      </w:rPr>
      <w:t xml:space="preserve">   |   ELI-ISMS-DOC-005   |   ISMS Objectives &amp; Plan to Achieve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2026-03-21T16:18:05.699Z</dcterms:created>
  <dcterms:modified xsi:type="dcterms:W3CDTF">2026-03-21T16:18:05.699Z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