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B3A6B"/>
          <w:sz w:val="52"/>
          <w:szCs w:val="52"/>
        </w:rPr>
        <w:t xml:space="preserve">GAP ANALYSIS REPORT</w:t>
      </w:r>
    </w:p>
    <w:p>
      <w:pPr>
        <w:spacing w:after="200"/>
        <w:jc w:val="center"/>
      </w:pPr>
      <w:r>
        <w:rPr>
          <w:rFonts w:ascii="Arial" w:cs="Arial" w:eastAsia="Arial" w:hAnsi="Arial"/>
          <w:b w:val="false"/>
          <w:bCs w:val="false"/>
          <w:color w:val="2E6DA4"/>
          <w:sz w:val="36"/>
          <w:szCs w:val="36"/>
        </w:rPr>
        <w:t xml:space="preserve">IT Release Management</w:t>
      </w:r>
    </w:p>
    <w:p>
      <w:pPr>
        <w:spacing w:after="100"/>
        <w:jc w:val="center"/>
      </w:pPr>
      <w:r>
        <w:rPr>
          <w:rFonts w:ascii="Arial" w:cs="Arial" w:eastAsia="Arial" w:hAnsi="Arial"/>
          <w:b/>
          <w:bCs/>
          <w:color w:val="2C3E50"/>
          <w:sz w:val="28"/>
          <w:szCs w:val="28"/>
        </w:rPr>
        <w:t xml:space="preserve">PT Equity Life Indonesia</w:t>
      </w:r>
    </w:p>
    <w:p>
      <w:pPr>
        <w:spacing w:after="400"/>
        <w:jc w:val="center"/>
      </w:pPr>
      <w:r>
        <w:rPr>
          <w:rFonts w:ascii="Arial" w:cs="Arial" w:eastAsia="Arial" w:hAnsi="Arial"/>
          <w:color w:val="666666"/>
          <w:sz w:val="22"/>
          <w:szCs w:val="22"/>
        </w:rPr>
        <w:t xml:space="preserve">Kesesuaian terhadap ISO/IEC 27001:2022 &amp; IT Change Management Best Practice</w:t>
      </w:r>
    </w:p>
    <w:p>
      <w:pPr>
        <w:pBdr>
          <w:bottom w:val="single" w:color="2E6DA4" w:sz="6" w:space="1"/>
        </w:pBdr>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Dokumen</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ELI-GAP-RM-001 Gap Analysis IT Release Management</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Tanggal</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Maret 2026</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Penulis</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 Security &amp; Compliance — PT Equity Life Indonesia</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Referensi Dokumen</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ELI_IT Release Management.pptx (versi Maret 2026)</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Standar Acuan</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ISO/IEC 27001:2022, ISO/IEC 27002:2022, ITIL 4 Change Enablement, POJK No.11/2022</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Klasifikasi</w:t>
            </w:r>
          </w:p>
        </w:tc>
        <w:tc>
          <w:tcPr>
            <w:tcW w:type="dxa" w:w="6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CONFIDENTIAL — Internal Use Only</w:t>
            </w:r>
          </w:p>
        </w:tc>
      </w:tr>
    </w:tbl>
    <w:p>
      <w:r>
        <w:br w:type="page"/>
      </w:r>
    </w:p>
    <w:p>
      <w:pPr>
        <w:pStyle w:val="Heading1"/>
      </w:pPr>
      <w:r>
        <w:rPr>
          <w:rFonts w:ascii="Arial" w:cs="Arial" w:eastAsia="Arial" w:hAnsi="Arial"/>
          <w:b/>
          <w:bCs/>
          <w:color w:val="1B3A6B"/>
          <w:sz w:val="32"/>
          <w:szCs w:val="32"/>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b/>
          <w:bCs/>
          <w:color w:val="1B3A6B"/>
          <w:sz w:val="32"/>
          <w:szCs w:val="32"/>
        </w:rPr>
        <w:t xml:space="preserve">1. Executive Summary</w:t>
      </w:r>
    </w:p>
    <w:p>
      <w:pPr>
        <w:spacing w:after="120"/>
      </w:pPr>
      <w:r>
        <w:rPr>
          <w:rFonts w:ascii="Arial" w:cs="Arial" w:eastAsia="Arial" w:hAnsi="Arial"/>
          <w:sz w:val="22"/>
          <w:szCs w:val="22"/>
        </w:rPr>
        <w:t xml:space="preserve">Dokumen ini merupakan hasil audit gap analysis terhadap prosedur IT Release Management PT Equity Life Indonesia (ELI) yang tertuang dalam presentasi ELI_IT Release Management (Maret 2026). Evaluasi dilakukan dari sudut pandang devil's advocate auditor ISO/IEC 27001:2022 dengan tujuan mengidentifikasi celah (gap) yang dapat menjadi temuan negatif dalam proses sertifikasi atau surveillance audit.</w:t>
      </w:r>
    </w:p>
    <w:p>
      <w:pPr>
        <w:spacing w:after="80"/>
      </w:pPr>
      <w:r>
        <w:t xml:space="preserve"/>
      </w:r>
    </w:p>
    <w:p>
      <w:pPr>
        <w:spacing w:after="120"/>
      </w:pPr>
      <w:r>
        <w:rPr>
          <w:rFonts w:ascii="Arial" w:cs="Arial" w:eastAsia="Arial" w:hAnsi="Arial"/>
          <w:sz w:val="22"/>
          <w:szCs w:val="22"/>
        </w:rPr>
        <w:t xml:space="preserve">Secara keseluruhan, dokumen yang dievaluasi sudah memiliki fondasi yang baik — struktur 5 tahap release, CAB governance dengan RACI yang jelas, serta deployment schedule tahunan sudah tersedia. Namun terdapat beberapa gap signifikan yang harus diselesaikan sebelum dokumen ini dapat dinyatakan compliant terhadap ISO 27001.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Area</w:t>
            </w:r>
          </w:p>
        </w:tc>
        <w:tc>
          <w:tcPr>
            <w:tcW w:type="dxa" w:w="218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Temuan</w:t>
            </w:r>
          </w:p>
        </w:tc>
        <w:tc>
          <w:tcPr>
            <w:tcW w:type="dxa" w:w="218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Klausul 7.5 — Document Control</w:t>
            </w:r>
          </w:p>
        </w:tc>
        <w:tc>
          <w:tcPr>
            <w:tcW w:type="dxa" w:w="21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Major Non-Conformance</w:t>
            </w:r>
          </w:p>
        </w:tc>
        <w:tc>
          <w:tcPr>
            <w:tcW w:type="dxa" w:w="2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Belum Ada</w:t>
            </w:r>
          </w:p>
        </w:tc>
      </w:tr>
      <w:tr>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A.8.32 / A.12.1.2 — Change Classification</w:t>
            </w:r>
          </w:p>
        </w:tc>
        <w:tc>
          <w:tcPr>
            <w:tcW w:type="dxa" w:w="21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Major Non-Conformance</w:t>
            </w:r>
          </w:p>
        </w:tc>
        <w:tc>
          <w:tcPr>
            <w:tcW w:type="dxa" w:w="21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Belum Ada</w:t>
            </w:r>
          </w:p>
        </w:tc>
      </w:tr>
      <w:tr>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A.5.3 / A.6.1.2 — Segregation of Duties</w:t>
            </w:r>
          </w:p>
        </w:tc>
        <w:tc>
          <w:tcPr>
            <w:tcW w:type="dxa" w:w="21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Major Non-Conformance</w:t>
            </w:r>
          </w:p>
        </w:tc>
        <w:tc>
          <w:tcPr>
            <w:tcW w:type="dxa" w:w="2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Tidak Eksplisit</w:t>
            </w:r>
          </w:p>
        </w:tc>
      </w:tr>
      <w:tr>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A.8.19 / A.14.2.9 — Acceptance Testing Criteria</w:t>
            </w:r>
          </w:p>
        </w:tc>
        <w:tc>
          <w:tcPr>
            <w:tcW w:type="dxa" w:w="21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Major Non-Conformance</w:t>
            </w:r>
          </w:p>
        </w:tc>
        <w:tc>
          <w:tcPr>
            <w:tcW w:type="dxa" w:w="21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Tidak Terukur</w:t>
            </w:r>
          </w:p>
        </w:tc>
      </w:tr>
      <w:tr>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A.8.15 / A.12.4.1 — Logging &amp; Audit Trail</w:t>
            </w:r>
          </w:p>
        </w:tc>
        <w:tc>
          <w:tcPr>
            <w:tcW w:type="dxa" w:w="218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Major Non-Conformance</w:t>
            </w:r>
          </w:p>
        </w:tc>
        <w:tc>
          <w:tcPr>
            <w:tcW w:type="dxa" w:w="2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Tidak Disebutkan</w:t>
            </w:r>
          </w:p>
        </w:tc>
      </w:tr>
      <w:tr>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A.5.10 / A.14.2.2 — Rollback Procedure</w:t>
            </w:r>
          </w:p>
        </w:tc>
        <w:tc>
          <w:tcPr>
            <w:tcW w:type="dxa" w:w="218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Minor Non-Conformance</w:t>
            </w:r>
          </w:p>
        </w:tc>
        <w:tc>
          <w:tcPr>
            <w:tcW w:type="dxa" w:w="21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Parsial</w:t>
            </w:r>
          </w:p>
        </w:tc>
      </w:tr>
      <w:tr>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A.5.31 / A.18.1 — Regulatory Compliance (OJK)</w:t>
            </w:r>
          </w:p>
        </w:tc>
        <w:tc>
          <w:tcPr>
            <w:tcW w:type="dxa" w:w="218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Minor Non-Conformance</w:t>
            </w:r>
          </w:p>
        </w:tc>
        <w:tc>
          <w:tcPr>
            <w:tcW w:type="dxa" w:w="2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Tidak Ada Referensi</w:t>
            </w:r>
          </w:p>
        </w:tc>
      </w:tr>
      <w:tr>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Emergency Change Procedure</w:t>
            </w:r>
          </w:p>
        </w:tc>
        <w:tc>
          <w:tcPr>
            <w:tcW w:type="dxa" w:w="218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Observation</w:t>
            </w:r>
          </w:p>
        </w:tc>
        <w:tc>
          <w:tcPr>
            <w:tcW w:type="dxa" w:w="21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Parsial</w:t>
            </w:r>
          </w:p>
        </w:tc>
      </w:tr>
      <w:tr>
        <w:tc>
          <w:tcPr>
            <w:tcW w:type="dxa" w:w="5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Klausul 9 — Performance Metrics / KPI</w:t>
            </w:r>
          </w:p>
        </w:tc>
        <w:tc>
          <w:tcPr>
            <w:tcW w:type="dxa" w:w="218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Observation</w:t>
            </w:r>
          </w:p>
        </w:tc>
        <w:tc>
          <w:tcPr>
            <w:tcW w:type="dxa" w:w="2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Tidak Ada</w:t>
            </w:r>
          </w:p>
        </w:tc>
      </w:tr>
      <w:tr>
        <w:tc>
          <w:tcPr>
            <w:tcW w:type="dxa" w:w="5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ELS Duration &amp; Hypercare SLA</w:t>
            </w:r>
          </w:p>
        </w:tc>
        <w:tc>
          <w:tcPr>
            <w:tcW w:type="dxa" w:w="218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OFI</w:t>
            </w:r>
          </w:p>
        </w:tc>
        <w:tc>
          <w:tcPr>
            <w:tcW w:type="dxa" w:w="21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Tidak Terdefinisi</w:t>
            </w:r>
          </w:p>
        </w:tc>
      </w:tr>
    </w:tbl>
    <w:p>
      <w:pPr>
        <w:spacing w:after="80"/>
      </w:pPr>
      <w:r>
        <w:t xml:space="preserve"/>
      </w:r>
    </w:p>
    <w:p>
      <w:pPr>
        <w:spacing w:after="120"/>
      </w:pPr>
      <w:r>
        <w:rPr>
          <w:rFonts w:ascii="Arial" w:cs="Arial" w:eastAsia="Arial" w:hAnsi="Arial"/>
          <w:color w:val="888888"/>
          <w:sz w:val="18"/>
          <w:szCs w:val="18"/>
        </w:rPr>
        <w:t xml:space="preserve">OFI = Opportunity for Improvement</w:t>
      </w:r>
    </w:p>
    <w:p>
      <w:pPr>
        <w:pStyle w:val="Heading1"/>
        <w:pageBreakBefore/>
      </w:pPr>
      <w:r>
        <w:rPr>
          <w:rFonts w:ascii="Arial" w:cs="Arial" w:eastAsia="Arial" w:hAnsi="Arial"/>
          <w:b/>
          <w:bCs/>
          <w:color w:val="1B3A6B"/>
          <w:sz w:val="32"/>
          <w:szCs w:val="32"/>
        </w:rPr>
        <w:t xml:space="preserve">2. Temuan Detail (Devil's Advocate Perspective)</w:t>
      </w:r>
    </w:p>
    <w:p>
      <w:pPr>
        <w:pStyle w:val="Heading2"/>
      </w:pPr>
      <w:r>
        <w:rPr>
          <w:rFonts w:ascii="Arial" w:cs="Arial" w:eastAsia="Arial" w:hAnsi="Arial"/>
          <w:b/>
          <w:bCs/>
          <w:color w:val="2E6DA4"/>
          <w:sz w:val="28"/>
          <w:szCs w:val="28"/>
        </w:rPr>
        <w:t xml:space="preserve">2.1 [CRITICAL] Klausul 7.5 — Tidak Ada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Referensi ISO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 27001:2022 Klausul 7.5 — Documented Information</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Tingkat Risiko</w:t>
            </w:r>
          </w:p>
        </w:tc>
        <w:tc>
          <w:tcPr>
            <w:tcW w:type="dxa" w:w="7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 — Major Non-Conformance</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Kondisi Saat Ini</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Dokumen tidak memiliki nomor dokumen, versi, tanggal efektif, nama document owner, kolom approval, maupun riwayat perubahan (change history).</w:t>
            </w:r>
          </w:p>
        </w:tc>
      </w:tr>
      <w:tr>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Pertanyaan Auditor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"Bagaimana saya tahu ini adalah versi terbaru yang berlaku? Siapa yang mengesahkan dokumen ini? Dokumen ini sudah disetujui oleh siapa?"</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Risiko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Dokumen dapat dimodifikasi tanpa jejak, versi lama bisa masih digunakan, dan tidak ada accountability untuk isi dokumen.</w:t>
            </w:r>
          </w:p>
        </w:tc>
      </w:tr>
    </w:tbl>
    <w:p>
      <w:pPr>
        <w:spacing w:after="80"/>
      </w:pPr>
      <w:r>
        <w:t xml:space="preserve"/>
      </w:r>
    </w:p>
    <w:p>
      <w:pPr>
        <w:pStyle w:val="Heading3"/>
      </w:pPr>
      <w:r>
        <w:rPr>
          <w:rFonts w:ascii="Arial" w:cs="Arial" w:eastAsia="Arial" w:hAnsi="Arial"/>
          <w:b/>
          <w:bCs/>
          <w:color w:val="2C3E50"/>
          <w:sz w:val="24"/>
          <w:szCs w:val="24"/>
        </w:rPr>
        <w:t xml:space="preserve">Rekomendasi Perbaikan:</w:t>
      </w:r>
    </w:p>
    <w:p>
      <w:pPr>
        <w:spacing w:after="120"/>
      </w:pPr>
      <w:r>
        <w:rPr>
          <w:rFonts w:ascii="Arial" w:cs="Arial" w:eastAsia="Arial" w:hAnsi="Arial"/>
          <w:sz w:val="22"/>
          <w:szCs w:val="22"/>
        </w:rPr>
        <w:t xml:space="preserve">Tambahkan header/footer standar pada dokumen yang memuat: Nomor Dokumen (contoh: ELI-SOP-ITS-005), Judul Dokumen, Versi (contoh: v1.0), Tanggal Berlaku, Penulis/Owner, Approver beserta tanda tangan digital atau nama, dan Status (Draft / Final / Obsolete).</w:t>
      </w:r>
    </w:p>
    <w:p>
      <w:pPr>
        <w:spacing w:after="120"/>
      </w:pPr>
      <w:r>
        <w:rPr>
          <w:rFonts w:ascii="Arial" w:cs="Arial" w:eastAsia="Arial" w:hAnsi="Arial"/>
          <w:sz w:val="22"/>
          <w:szCs w:val="22"/>
        </w:rPr>
        <w:t xml:space="preserve">Tambahkan tabel Change History di halaman pertama dokumen yang mencatat versi, tanggal, deskripsi perubahan, dan nama pengubah.</w:t>
      </w:r>
    </w:p>
    <w:p>
      <w:pPr>
        <w:spacing w:after="80"/>
      </w:pPr>
      <w:r>
        <w:t xml:space="preserve"/>
      </w:r>
    </w:p>
    <w:p>
      <w:pPr>
        <w:pStyle w:val="Heading2"/>
      </w:pPr>
      <w:r>
        <w:rPr>
          <w:rFonts w:ascii="Arial" w:cs="Arial" w:eastAsia="Arial" w:hAnsi="Arial"/>
          <w:b/>
          <w:bCs/>
          <w:color w:val="2E6DA4"/>
          <w:sz w:val="28"/>
          <w:szCs w:val="28"/>
        </w:rPr>
        <w:t xml:space="preserve">2.2 [CRITICAL] A.8.32 — Tidak Ada Risk Classification Perubahan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Referensi ISO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 27001:2022 Annex A.8.32 / ISO 27002 Change Management</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Tingkat Risiko</w:t>
            </w:r>
          </w:p>
        </w:tc>
        <w:tc>
          <w:tcPr>
            <w:tcW w:type="dxa" w:w="7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 — Major Non-Conformance</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Kondisi Saat Ini</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Tidak ada definisi atau klasifikasi tipe perubahan (Standard Change, Normal Change, Emergency Change, Major Change). Semua perubahan diperlakukan dengan proses yang sama tanpa mempertimbangkan tingkat risiko.</w:t>
            </w:r>
          </w:p>
        </w:tc>
      </w:tr>
      <w:tr>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Pertanyaan Auditor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"Bagaimana tim menentukan apakah suatu perubahan berisiko tinggi atau rendah? Apa kriteria untuk menentukan Emergency vs Regular change? Apakah patch hotfix diperlakukan sama dengan major release?"</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Risiko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Perubahan berisiko rendah melewati proses yang berlebihan (efisiensi turun), sedangkan perubahan berisiko tinggi mungkin tidak mendapat pengawasan cukup.</w:t>
            </w:r>
          </w:p>
        </w:tc>
      </w:tr>
    </w:tbl>
    <w:p>
      <w:pPr>
        <w:spacing w:after="80"/>
      </w:pPr>
      <w:r>
        <w:t xml:space="preserve"/>
      </w:r>
    </w:p>
    <w:p>
      <w:pPr>
        <w:pStyle w:val="Heading3"/>
      </w:pPr>
      <w:r>
        <w:rPr>
          <w:rFonts w:ascii="Arial" w:cs="Arial" w:eastAsia="Arial" w:hAnsi="Arial"/>
          <w:b/>
          <w:bCs/>
          <w:color w:val="2C3E50"/>
          <w:sz w:val="24"/>
          <w:szCs w:val="24"/>
        </w:rPr>
        <w:t xml:space="preserve">Rekomendasi Perbaikan:</w:t>
      </w:r>
    </w:p>
    <w:p>
      <w:pPr>
        <w:spacing w:after="120"/>
      </w:pPr>
      <w:r>
        <w:rPr>
          <w:rFonts w:ascii="Arial" w:cs="Arial" w:eastAsia="Arial" w:hAnsi="Arial"/>
          <w:sz w:val="22"/>
          <w:szCs w:val="22"/>
        </w:rPr>
        <w:t xml:space="preserve">Tambahkan Change Classification Matrix yang mendefinisikan minimal 3 kategori perubahan beserta kriteria, approval level, dan SLA masing-masing: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000"/>
        <w:gridCol w:w="1800"/>
        <w:gridCol w:w="1460"/>
      </w:tblGrid>
      <w:tr>
        <w:trPr>
          <w:tblHeader/>
        </w:trPr>
        <w:tc>
          <w:tcPr>
            <w:tcW w:type="dxa" w:w="16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Tipe</w:t>
            </w:r>
          </w:p>
        </w:tc>
        <w:tc>
          <w:tcPr>
            <w:tcW w:type="dxa" w:w="25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Definisi</w:t>
            </w:r>
          </w:p>
        </w:tc>
        <w:tc>
          <w:tcPr>
            <w:tcW w:type="dxa" w:w="20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Contoh</w:t>
            </w:r>
          </w:p>
        </w:tc>
        <w:tc>
          <w:tcPr>
            <w:tcW w:type="dxa" w:w="18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Approval</w:t>
            </w:r>
          </w:p>
        </w:tc>
        <w:tc>
          <w:tcPr>
            <w:tcW w:type="dxa" w:w="146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SLA Submission</w:t>
            </w:r>
          </w:p>
        </w:tc>
      </w:tr>
      <w:tr>
        <w:tc>
          <w:tcPr>
            <w:tcW w:type="dxa" w:w="16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Standard</w:t>
            </w:r>
          </w:p>
        </w:tc>
        <w:tc>
          <w:tcPr>
            <w:tcW w:type="dxa" w:w="25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Perubahan rutin, risiko rendah, sudah pre-approved</w:t>
            </w:r>
          </w:p>
        </w:tc>
        <w:tc>
          <w:tcPr>
            <w:tcW w:type="dxa" w:w="20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 update, certificate renewal</w:t>
            </w:r>
          </w:p>
        </w:tc>
        <w:tc>
          <w:tcPr>
            <w:tcW w:type="dxa" w:w="18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CAB Manager saja</w:t>
            </w:r>
          </w:p>
        </w:tc>
        <w:tc>
          <w:tcPr>
            <w:tcW w:type="dxa" w:w="14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H-5 hari kerja</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Perubahan terencana, risiko sedang, butuh CAB review</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release, patch minor</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CAB Owner + Manager</w:t>
            </w:r>
          </w:p>
        </w:tc>
        <w:tc>
          <w:tcPr>
            <w:tcW w:type="dxa" w:w="1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H-7 hari kerja</w:t>
            </w:r>
          </w:p>
        </w:tc>
      </w:tr>
      <w:tr>
        <w:tc>
          <w:tcPr>
            <w:tcW w:type="dxa" w:w="16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Major</w:t>
            </w:r>
          </w:p>
        </w:tc>
        <w:tc>
          <w:tcPr>
            <w:tcW w:type="dxa" w:w="25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Perubahan berdampak luas, risiko tinggi</w:t>
            </w:r>
          </w:p>
        </w:tc>
        <w:tc>
          <w:tcPr>
            <w:tcW w:type="dxa" w:w="20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Core system upgrade, infrastruktur</w:t>
            </w:r>
          </w:p>
        </w:tc>
        <w:tc>
          <w:tcPr>
            <w:tcW w:type="dxa" w:w="18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CAB Sponsor + Owner + Manager</w:t>
            </w:r>
          </w:p>
        </w:tc>
        <w:tc>
          <w:tcPr>
            <w:tcW w:type="dxa" w:w="14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H-14 hari kerja</w:t>
            </w:r>
          </w:p>
        </w:tc>
      </w:tr>
      <w:tr>
        <w:tc>
          <w:tcPr>
            <w:tcW w:type="dxa" w:w="16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Emergency</w:t>
            </w:r>
          </w:p>
        </w:tc>
        <w:tc>
          <w:tcPr>
            <w:tcW w:type="dxa" w:w="2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Perubahan mendesak untuk mengatasi insiden kritis</w:t>
            </w:r>
          </w:p>
        </w:tc>
        <w:tc>
          <w:tcPr>
            <w:tcW w:type="dxa" w:w="20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P1/P2 incident fix, security patch kritis</w:t>
            </w:r>
          </w:p>
        </w:tc>
        <w:tc>
          <w:tcPr>
            <w:tcW w:type="dxa" w:w="18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CAB Sponsor wajib + Owner + Manager</w:t>
            </w:r>
          </w:p>
        </w:tc>
        <w:tc>
          <w:tcPr>
            <w:tcW w:type="dxa" w:w="14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Real-time, max 2 jam</w:t>
            </w:r>
          </w:p>
        </w:tc>
      </w:tr>
    </w:tbl>
    <w:p>
      <w:pPr>
        <w:spacing w:after="80"/>
      </w:pPr>
      <w:r>
        <w:t xml:space="preserve"/>
      </w:r>
    </w:p>
    <w:p>
      <w:pPr>
        <w:pStyle w:val="Heading2"/>
      </w:pPr>
      <w:r>
        <w:rPr>
          <w:rFonts w:ascii="Arial" w:cs="Arial" w:eastAsia="Arial" w:hAnsi="Arial"/>
          <w:b/>
          <w:bCs/>
          <w:color w:val="2E6DA4"/>
          <w:sz w:val="28"/>
          <w:szCs w:val="28"/>
        </w:rPr>
        <w:t xml:space="preserve">2.3 [CRITICAL] A.5.3 — Tidak Ada Segregation of Duties (SoD)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Referensi ISO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 27001:2022 Annex A.5.3 Segregation of Duties</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Tingkat Risiko</w:t>
            </w:r>
          </w:p>
        </w:tc>
        <w:tc>
          <w:tcPr>
            <w:tcW w:type="dxa" w:w="7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 — Major Non-Conformance</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Kondisi Saat Ini</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Tidak ada satu pun klausa dalam dokumen yang secara eksplisit melarang atau membatasi developer untuk melakukan deployment ke production sendiri. Tidak ada RACI/matrix aksesibilitas yang memisahkan peran "yang mengembangkan" dan "yang mendeploy".</w:t>
            </w:r>
          </w:p>
        </w:tc>
      </w:tr>
      <w:tr>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Pertanyaan Auditor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"Apakah developer yang membuat kode bisa langsung push ke production? Siapa yang kontrol akses deployment ke production environment? Bagaimana Anda membuktikan bahwa tidak ada developer yang bypass proses ini?"</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Risiko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Developer dapat memasukkan kode berbahaya atau tidak terotorisasi langsung ke production. Ini adalah kontrol kritis untuk asuransi jiwa yang memproses data nasabah sensitif.</w:t>
            </w:r>
          </w:p>
        </w:tc>
      </w:tr>
    </w:tbl>
    <w:p>
      <w:pPr>
        <w:spacing w:after="80"/>
      </w:pPr>
      <w:r>
        <w:t xml:space="preserve"/>
      </w:r>
    </w:p>
    <w:p>
      <w:pPr>
        <w:pStyle w:val="Heading3"/>
      </w:pPr>
      <w:r>
        <w:rPr>
          <w:rFonts w:ascii="Arial" w:cs="Arial" w:eastAsia="Arial" w:hAnsi="Arial"/>
          <w:b/>
          <w:bCs/>
          <w:color w:val="2C3E50"/>
          <w:sz w:val="24"/>
          <w:szCs w:val="24"/>
        </w:rPr>
        <w:t xml:space="preserve">Rekomendasi Perbaikan:</w:t>
      </w:r>
    </w:p>
    <w:p>
      <w:pPr>
        <w:spacing w:after="120"/>
      </w:pPr>
      <w:r>
        <w:rPr>
          <w:rFonts w:ascii="Arial" w:cs="Arial" w:eastAsia="Arial" w:hAnsi="Arial"/>
          <w:sz w:val="22"/>
          <w:szCs w:val="22"/>
        </w:rPr>
        <w:t xml:space="preserve">Tambahkan klausul SoD yang eksplisit dalam dokumen, misalnya: "Developer yang mengembangkan suatu perubahan dilarang melakukan deployment ke environment Production secara mandiri. Deployment ke Production hanya dapat dilakukan oleh tim IT Operations / DevOps yang terpisah setelah mendapat CAB approval."</w:t>
      </w:r>
    </w:p>
    <w:p>
      <w:pPr>
        <w:spacing w:after="120"/>
      </w:pPr>
      <w:r>
        <w:rPr>
          <w:rFonts w:ascii="Arial" w:cs="Arial" w:eastAsia="Arial" w:hAnsi="Arial"/>
          <w:sz w:val="22"/>
          <w:szCs w:val="22"/>
        </w:rPr>
        <w:t xml:space="preserve">Tambahkan Access Control Matrix yang menunjukkan siapa yang memiliki akses ke masing-masing environment (DEV / SIT / UAT / PROD) dan membuktikan bahwa developer tidak memiliki write/deploy access ke PROD.</w:t>
      </w:r>
    </w:p>
    <w:p>
      <w:pPr>
        <w:spacing w:after="80"/>
      </w:pPr>
      <w:r>
        <w:t xml:space="preserve"/>
      </w:r>
    </w:p>
    <w:p>
      <w:pPr>
        <w:pStyle w:val="Heading2"/>
      </w:pPr>
      <w:r>
        <w:rPr>
          <w:rFonts w:ascii="Arial" w:cs="Arial" w:eastAsia="Arial" w:hAnsi="Arial"/>
          <w:b/>
          <w:bCs/>
          <w:color w:val="2E6DA4"/>
          <w:sz w:val="28"/>
          <w:szCs w:val="28"/>
        </w:rPr>
        <w:t xml:space="preserve">2.4 [CRITICAL] A.8.29 — Kriteria Go/No-Go Tidak Terukur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Referensi ISO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 27001:2022 Annex A.8.29 Security Testing in Development and Acceptance (ISO 27002 A.14.2.9)</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Tingkat Risiko</w:t>
            </w:r>
          </w:p>
        </w:tc>
        <w:tc>
          <w:tcPr>
            <w:tcW w:type="dxa" w:w="7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 — Major Non-Conformance</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Kondisi Saat Ini</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Slide Release Verification hanya menyebut "technically and operationally ready" tanpa mendefinisikan apa artinya secara terukur. Tidak ada minimum threshold untuk SIT pass rate, UAT sign-off, vulnerability scan, atau performance test.</w:t>
            </w:r>
          </w:p>
        </w:tc>
      </w:tr>
      <w:tr>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Pertanyaan Auditor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"Apa kriteria kuantitatif untuk menyatakan suatu release 'siap'? Berapa minimum SIT pass rate? Apakah vulnerability scan mandatory? Siapa yang berwenang memberikan UAT sign-off? Bisa saya lihat contoh checklist Go/No-Go yang sudah diisi?"</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Risiko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Keputusan Go/No-Go menjadi subjektif dan rentan terhadap tekanan bisnis. Software dengan bug atau vulnerability dapat lolos ke production tanpa kontrol yang memadai.</w:t>
            </w:r>
          </w:p>
        </w:tc>
      </w:tr>
    </w:tbl>
    <w:p>
      <w:pPr>
        <w:spacing w:after="80"/>
      </w:pPr>
      <w:r>
        <w:t xml:space="preserve"/>
      </w:r>
    </w:p>
    <w:p>
      <w:pPr>
        <w:pStyle w:val="Heading3"/>
      </w:pPr>
      <w:r>
        <w:rPr>
          <w:rFonts w:ascii="Arial" w:cs="Arial" w:eastAsia="Arial" w:hAnsi="Arial"/>
          <w:b/>
          <w:bCs/>
          <w:color w:val="2C3E50"/>
          <w:sz w:val="24"/>
          <w:szCs w:val="24"/>
        </w:rPr>
        <w:t xml:space="preserve">Rekomendasi Perbaikan:</w:t>
      </w:r>
    </w:p>
    <w:p>
      <w:pPr>
        <w:spacing w:after="120"/>
      </w:pPr>
      <w:r>
        <w:rPr>
          <w:rFonts w:ascii="Arial" w:cs="Arial" w:eastAsia="Arial" w:hAnsi="Arial"/>
          <w:sz w:val="22"/>
          <w:szCs w:val="22"/>
        </w:rPr>
        <w:t xml:space="preserve">Buat Go/No-Go Checklist yang terstandarisasi dan wajib diisi sebelum setiap CAB Forum. Minimal harus mencakup kriteria berikut: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500"/>
        <w:gridCol w:w="2500"/>
        <w:gridCol w:w="1560"/>
        <w:gridCol w:w="1500"/>
      </w:tblGrid>
      <w:tr>
        <w:trPr>
          <w:tblHeader/>
        </w:trPr>
        <w:tc>
          <w:tcPr>
            <w:tcW w:type="dxa" w:w="3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w:t>
            </w:r>
          </w:p>
        </w:tc>
        <w:tc>
          <w:tcPr>
            <w:tcW w:type="dxa" w:w="35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Kriteria</w:t>
            </w:r>
          </w:p>
        </w:tc>
        <w:tc>
          <w:tcPr>
            <w:tcW w:type="dxa" w:w="25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Threshold / Requirement</w:t>
            </w:r>
          </w:p>
        </w:tc>
        <w:tc>
          <w:tcPr>
            <w:tcW w:type="dxa" w:w="156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Approver</w:t>
            </w:r>
          </w:p>
        </w:tc>
        <w:tc>
          <w:tcPr>
            <w:tcW w:type="dxa" w:w="15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Mandatory?</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SIT Pass Rate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Minimum 95% test case passed</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QA Lead</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 Ya</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UAT Sign-Off</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Sign-off tertulis dari Business Owner / PO</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Owner</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 Ya</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Vulnerability Assessment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Tidak ada temuan Critical/High yang belum dimitigasi</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Head DevSecOps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 Ya</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Test (jika applicable)</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Response time ≤ baseline + 10%</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 Ops</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Kondisional</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3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Rollback Plan tersedia dan telah diverifikasi</w:t>
            </w:r>
          </w:p>
        </w:tc>
        <w:tc>
          <w:tcPr>
            <w:tcW w:type="dxa" w:w="2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Dokumen rollback plan lengkap dan telah di-review</w:t>
            </w:r>
          </w:p>
        </w:tc>
        <w:tc>
          <w:tcPr>
            <w:tcW w:type="dxa" w:w="1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 Manager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 Ya</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Deployment Runbook tersedia</w:t>
            </w:r>
          </w:p>
        </w:tc>
        <w:tc>
          <w:tcPr>
            <w:tcW w:type="dxa" w:w="2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Step-by-step deployment guide tersedia</w:t>
            </w:r>
          </w:p>
        </w:tc>
        <w:tc>
          <w:tcPr>
            <w:tcW w:type="dxa" w:w="1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 Manager</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 Ya</w:t>
            </w:r>
          </w:p>
        </w:tc>
      </w:tr>
    </w:tbl>
    <w:p>
      <w:pPr>
        <w:spacing w:after="80"/>
      </w:pPr>
      <w:r>
        <w:t xml:space="preserve"/>
      </w:r>
    </w:p>
    <w:p>
      <w:pPr>
        <w:pStyle w:val="Heading2"/>
      </w:pPr>
      <w:r>
        <w:rPr>
          <w:rFonts w:ascii="Arial" w:cs="Arial" w:eastAsia="Arial" w:hAnsi="Arial"/>
          <w:b/>
          <w:bCs/>
          <w:color w:val="2E6DA4"/>
          <w:sz w:val="28"/>
          <w:szCs w:val="28"/>
        </w:rPr>
        <w:t xml:space="preserve">2.5 [CRITICAL] A.8.15 — Tidak Ada Ketentuan Audit Trail /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Referensi ISO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 27001:2022 Annex A.8.15 Logging / ISO 27002 A.12.4.1</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Tingkat Risiko</w:t>
            </w:r>
          </w:p>
        </w:tc>
        <w:tc>
          <w:tcPr>
            <w:tcW w:type="dxa" w:w="716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 — Major Non-Conformance</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Kondisi Saat Ini</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Tidak ada ketentuan bahwa setiap aktivitas deployment harus dicatat di sistem logging terpusat. "Deployment Execution Record" disebutkan sebagai output namun tanpa format standar, lokasi penyimpanan, dan periode retensi yang jelas.</w:t>
            </w:r>
          </w:p>
        </w:tc>
      </w:tr>
      <w:tr>
        <w:tc>
          <w:tcPr>
            <w:tcW w:type="dxa" w:w="2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Pertanyaan Auditor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 mana deployment log disimpan? Siapa yang bisa mengaksesnya? Berapa lama disimpan? Apakah log ini tamper-proof? Bisakah Anda tunjukkan log deployment 3 bulan terakhir?"</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Risiko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Tidak ada jejak audit yang dapat digunakan untuk investigasi insiden pasca-deployment, forensik digital, atau pembuktian kepatuhan kepada regulator (OJK).</w:t>
            </w:r>
          </w:p>
        </w:tc>
      </w:tr>
    </w:tbl>
    <w:p>
      <w:pPr>
        <w:spacing w:after="80"/>
      </w:pPr>
      <w:r>
        <w:t xml:space="preserve"/>
      </w:r>
    </w:p>
    <w:p>
      <w:pPr>
        <w:pStyle w:val="Heading3"/>
      </w:pPr>
      <w:r>
        <w:rPr>
          <w:rFonts w:ascii="Arial" w:cs="Arial" w:eastAsia="Arial" w:hAnsi="Arial"/>
          <w:b/>
          <w:bCs/>
          <w:color w:val="2C3E50"/>
          <w:sz w:val="24"/>
          <w:szCs w:val="24"/>
        </w:rPr>
        <w:t xml:space="preserve">Rekomendasi Perbaikan:</w:t>
      </w:r>
    </w:p>
    <w:p>
      <w:pPr>
        <w:spacing w:after="120"/>
      </w:pPr>
      <w:r>
        <w:rPr>
          <w:rFonts w:ascii="Arial" w:cs="Arial" w:eastAsia="Arial" w:hAnsi="Arial"/>
          <w:sz w:val="22"/>
          <w:szCs w:val="22"/>
        </w:rPr>
        <w:t xml:space="preserve">Tambahkan ketentuan logging yang eksplisit: semua aktivitas deployment ke Production harus tercatat di sistem log terpusat (misalnya SIEM atau ticketing system) dengan minimal mencatat: Timestamp, Nama user yang melakukan deployment, Nama sistem/aplikasi yang di-deploy, Versi sebelum dan sesudah, Status (success/failed), dan Reference nomor CAB approval.</w:t>
      </w:r>
    </w:p>
    <w:p>
      <w:pPr>
        <w:spacing w:after="120"/>
      </w:pPr>
      <w:r>
        <w:rPr>
          <w:rFonts w:ascii="Arial" w:cs="Arial" w:eastAsia="Arial" w:hAnsi="Arial"/>
          <w:sz w:val="22"/>
          <w:szCs w:val="22"/>
        </w:rPr>
        <w:t xml:space="preserve">Selaraskan dengan ELI-POL-ISMS-001 Kebijakan Retensi Dokumen yang sudah dimiliki ELI — pastikan deployment log masuk dalam jadwal retensi dokumen yang relevan.</w:t>
      </w:r>
    </w:p>
    <w:p>
      <w:pPr>
        <w:spacing w:after="80"/>
      </w:pPr>
      <w:r>
        <w:t xml:space="preserve"/>
      </w:r>
    </w:p>
    <w:p>
      <w:pPr>
        <w:pStyle w:val="Heading2"/>
      </w:pPr>
      <w:r>
        <w:rPr>
          <w:rFonts w:ascii="Arial" w:cs="Arial" w:eastAsia="Arial" w:hAnsi="Arial"/>
          <w:b/>
          <w:bCs/>
          <w:color w:val="2E6DA4"/>
          <w:sz w:val="28"/>
          <w:szCs w:val="28"/>
        </w:rPr>
        <w:t xml:space="preserve">2.6 [HIGH] A.8.32 — Rollback Procedure Tidak Lengkap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Referensi ISO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 27001:2022 Annex A.8.32 / ISO 27002 A.14.2.2 System Change Control Procedures</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Tingkat Risiko</w:t>
            </w:r>
          </w:p>
        </w:tc>
        <w:tc>
          <w:tcPr>
            <w:tcW w:type="dxa" w:w="71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HIGH — Minor Non-Conformance</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Kondisi Saat Ini</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Rollback disebutkan sebagai bagian dari proses deployment, namun tidak ada penjelasan tentang: trigger kondisi rollback, siapa yang berwenang mengotorisasi rollback, batas waktu keputusan rollback, dan prosedur verifikasi pasca-rollback.</w:t>
            </w:r>
          </w:p>
        </w:tc>
      </w:tr>
      <w:tr>
        <w:tc>
          <w:tcPr>
            <w:tcW w:type="dxa" w:w="2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Pertanyaan Auditor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"Kalau deployment gagal jam 11 malam, siapa yang memutuskan rollback? Berapa lama tim punya waktu untuk memutuskan? Apa yang terjadi kalau rollback juga gagal? Ada SOP-nya?"</w:t>
            </w:r>
          </w:p>
        </w:tc>
      </w:tr>
    </w:tbl>
    <w:p>
      <w:pPr>
        <w:spacing w:after="80"/>
      </w:pPr>
      <w:r>
        <w:t xml:space="preserve"/>
      </w:r>
    </w:p>
    <w:p>
      <w:pPr>
        <w:pStyle w:val="Heading3"/>
      </w:pPr>
      <w:r>
        <w:rPr>
          <w:rFonts w:ascii="Arial" w:cs="Arial" w:eastAsia="Arial" w:hAnsi="Arial"/>
          <w:b/>
          <w:bCs/>
          <w:color w:val="2C3E50"/>
          <w:sz w:val="24"/>
          <w:szCs w:val="24"/>
        </w:rPr>
        <w:t xml:space="preserve">Rekomendasi Perbaikan:</w:t>
      </w:r>
    </w:p>
    <w:p>
      <w:pPr>
        <w:spacing w:after="120"/>
      </w:pPr>
      <w:r>
        <w:rPr>
          <w:rFonts w:ascii="Arial" w:cs="Arial" w:eastAsia="Arial" w:hAnsi="Arial"/>
          <w:sz w:val="22"/>
          <w:szCs w:val="22"/>
        </w:rPr>
        <w:t xml:space="preserve">Tambahkan Rollback Decision Matrix yang mendefinisikan: (1) Trigger conditions — kondisi apa saja yang memicu rollback (misalnya: critical error dalam 30 menit pertama, SLA breach, data corruption); (2) Decision authority — siapa yang berwenang memutuskan rollback dan dalam berapa menit; (3) Rollback time limit — maksimum berapa lama proses rollback harus selesai; (4) Escalation path — jika rollback juga gagal, siapa yang dihubungi.</w:t>
      </w:r>
    </w:p>
    <w:p>
      <w:pPr>
        <w:spacing w:after="80"/>
      </w:pPr>
      <w:r>
        <w:t xml:space="preserve"/>
      </w:r>
    </w:p>
    <w:p>
      <w:pPr>
        <w:pStyle w:val="Heading2"/>
      </w:pPr>
      <w:r>
        <w:rPr>
          <w:rFonts w:ascii="Arial" w:cs="Arial" w:eastAsia="Arial" w:hAnsi="Arial"/>
          <w:b/>
          <w:bCs/>
          <w:color w:val="2E6DA4"/>
          <w:sz w:val="28"/>
          <w:szCs w:val="28"/>
        </w:rPr>
        <w:t xml:space="preserve">2.7 [HIGH] A.5.31 — Tidak Ada Referensi Kepatuhan Regulasi OJK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Referensi ISO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 27001:2022 Annex A.5.31 Legal, Statutory, Regulatory and Contractual Requirements</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Tingkat Risiko</w:t>
            </w:r>
          </w:p>
        </w:tc>
        <w:tc>
          <w:tcPr>
            <w:tcW w:type="dxa" w:w="716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HIGH — Minor Non-Conformance</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Kondisi Saat Ini</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Tidak ada satu pun referensi ke regulasi eksternal yang berlaku bagi PT Equity Life Indonesia sebagai perusahaan asuransi jiwa di Indonesia, khususnya POJK No.11/2022 tentang Penyelenggaraan Teknologi Informasi oleh Lembaga Jasa Keuangan.</w:t>
            </w:r>
          </w:p>
        </w:tc>
      </w:tr>
      <w:tr>
        <w:tc>
          <w:tcPr>
            <w:tcW w:type="dxa" w:w="2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Pertanyaan Auditor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"Sebagai perusahaan asuransi jiwa yang diregulasi OJK, apakah prosedur Change Management ini sudah diselaraskan dengan persyaratan OJK? Di mana buktinya?"</w:t>
            </w:r>
          </w:p>
        </w:tc>
      </w:tr>
    </w:tbl>
    <w:p>
      <w:pPr>
        <w:spacing w:after="80"/>
      </w:pPr>
      <w:r>
        <w:t xml:space="preserve"/>
      </w:r>
    </w:p>
    <w:p>
      <w:pPr>
        <w:pStyle w:val="Heading3"/>
      </w:pPr>
      <w:r>
        <w:rPr>
          <w:rFonts w:ascii="Arial" w:cs="Arial" w:eastAsia="Arial" w:hAnsi="Arial"/>
          <w:b/>
          <w:bCs/>
          <w:color w:val="2C3E50"/>
          <w:sz w:val="24"/>
          <w:szCs w:val="24"/>
        </w:rPr>
        <w:t xml:space="preserve">Rekomendasi Perbaikan:</w:t>
      </w:r>
    </w:p>
    <w:p>
      <w:pPr>
        <w:spacing w:after="120"/>
      </w:pPr>
      <w:r>
        <w:rPr>
          <w:rFonts w:ascii="Arial" w:cs="Arial" w:eastAsia="Arial" w:hAnsi="Arial"/>
          <w:sz w:val="22"/>
          <w:szCs w:val="22"/>
        </w:rPr>
        <w:t xml:space="preserve">Tambahkan bagian "Regulatory Alignment" yang secara eksplisit memetakan prosedur Release Management ini terhadap persyaratan regulasi yang berlaku, minimal: POJK No.11/2022 tentang Penyelenggaraan TI oleh LJK, SE OJK terkait keamanan siber untuk perusahaan asuransi, dan persyaratan pelaporan insiden terkait sistem IT kepada OJK (jika aplikable).</w:t>
      </w:r>
    </w:p>
    <w:p>
      <w:pPr>
        <w:spacing w:after="80"/>
      </w:pPr>
      <w:r>
        <w:t xml:space="preserve"/>
      </w:r>
    </w:p>
    <w:p>
      <w:pPr>
        <w:pStyle w:val="Heading2"/>
      </w:pPr>
      <w:r>
        <w:rPr>
          <w:rFonts w:ascii="Arial" w:cs="Arial" w:eastAsia="Arial" w:hAnsi="Arial"/>
          <w:b/>
          <w:bCs/>
          <w:color w:val="2E6DA4"/>
          <w:sz w:val="28"/>
          <w:szCs w:val="28"/>
        </w:rPr>
        <w:t xml:space="preserve">2.8 [MEDIUM] Emergency Change — Prosedur Tidak Lengkap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Referensi ISO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 27001:2022 Annex A.8.32 / ITIL 4 Emergency Change</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Tingkat Risiko</w:t>
            </w:r>
          </w:p>
        </w:tc>
        <w:tc>
          <w:tcPr>
            <w:tcW w:type="dxa" w:w="7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MEDIUM — Observation</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Kondisi Saat Ini</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Emergency Deployment hanya disebutkan dengan kalimat "Any request must follow guideline, assessment and approval mechanism from CAB Manager, CAB Owner &amp; CAB Sponsor" — tanpa menyertakan guideline dimaksud, SLA response time, kriteria apa yang dianggap emergency, atau proses post-implementation review khusus.</w:t>
            </w:r>
          </w:p>
        </w:tc>
      </w:tr>
      <w:tr>
        <w:tc>
          <w:tcPr>
            <w:tcW w:type="dxa" w:w="2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Pertanyaan Auditor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"Saya minta lihat guideline emergency change yang dimaksud. Di mana dokumennya? Berapa banyak emergency change yang terjadi tahun lalu? Apakah semuanya sudah melalui proses yang benar?"</w:t>
            </w:r>
          </w:p>
        </w:tc>
      </w:tr>
    </w:tbl>
    <w:p>
      <w:pPr>
        <w:spacing w:after="80"/>
      </w:pPr>
      <w:r>
        <w:t xml:space="preserve"/>
      </w:r>
    </w:p>
    <w:p>
      <w:pPr>
        <w:pStyle w:val="Heading3"/>
      </w:pPr>
      <w:r>
        <w:rPr>
          <w:rFonts w:ascii="Arial" w:cs="Arial" w:eastAsia="Arial" w:hAnsi="Arial"/>
          <w:b/>
          <w:bCs/>
          <w:color w:val="2C3E50"/>
          <w:sz w:val="24"/>
          <w:szCs w:val="24"/>
        </w:rPr>
        <w:t xml:space="preserve">Rekomendasi Perbaikan:</w:t>
      </w:r>
    </w:p>
    <w:p>
      <w:pPr>
        <w:spacing w:after="120"/>
      </w:pPr>
      <w:r>
        <w:rPr>
          <w:rFonts w:ascii="Arial" w:cs="Arial" w:eastAsia="Arial" w:hAnsi="Arial"/>
          <w:sz w:val="22"/>
          <w:szCs w:val="22"/>
        </w:rPr>
        <w:t xml:space="preserve">Buat atau referensikan prosedur Emergency Change yang terpisah dan lengkap, mencakup: definisi dan kriteria emergency change (misalnya: insiden P1/P2 aktif, vulnerability CVSS ≥ 9.0, permintaan regulator), SLA approval maximum (misal: 2 jam untuk approval verbal, 24 jam untuk dokumentasi lengkap), kewajiban PIR dalam 5 hari kerja pasca-emergency deployment, dan limit jumlah emergency change per bulan/kuartal sebagai KPI.</w:t>
      </w:r>
    </w:p>
    <w:p>
      <w:pPr>
        <w:spacing w:after="80"/>
      </w:pPr>
      <w:r>
        <w:t xml:space="preserve"/>
      </w:r>
    </w:p>
    <w:p>
      <w:pPr>
        <w:pStyle w:val="Heading2"/>
      </w:pPr>
      <w:r>
        <w:rPr>
          <w:rFonts w:ascii="Arial" w:cs="Arial" w:eastAsia="Arial" w:hAnsi="Arial"/>
          <w:b/>
          <w:bCs/>
          <w:color w:val="2E6DA4"/>
          <w:sz w:val="28"/>
          <w:szCs w:val="28"/>
        </w:rPr>
        <w:t xml:space="preserve">2.9 [MEDIUM] Klausul 9 — Tidak Ada Performance Metrics /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Referensi ISO</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 27001:2022 Klausul 9.1 — Monitoring, Measurement, Analysis and Evaluation</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Tingkat Risiko</w:t>
            </w:r>
          </w:p>
        </w:tc>
        <w:tc>
          <w:tcPr>
            <w:tcW w:type="dxa" w:w="71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MEDIUM — Observation</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Kondisi Saat Ini</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Tidak ada KPI, metrik, atau mekanisme evaluasi efektivitas proses Release Management yang terdefinisi dalam dokumen.</w:t>
            </w:r>
          </w:p>
        </w:tc>
      </w:tr>
      <w:tr>
        <w:tc>
          <w:tcPr>
            <w:tcW w:type="dxa" w:w="2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Pertanyaan Auditor</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"Bagaimana manajemen mengetahui apakah proses Release Management ini berjalan efektif? Apa yang diukur? Kapan terakhir dilakukan review?"</w:t>
            </w:r>
          </w:p>
        </w:tc>
      </w:tr>
    </w:tbl>
    <w:p>
      <w:pPr>
        <w:spacing w:after="80"/>
      </w:pPr>
      <w:r>
        <w:t xml:space="preserve"/>
      </w:r>
    </w:p>
    <w:p>
      <w:pPr>
        <w:pStyle w:val="Heading3"/>
      </w:pPr>
      <w:r>
        <w:rPr>
          <w:rFonts w:ascii="Arial" w:cs="Arial" w:eastAsia="Arial" w:hAnsi="Arial"/>
          <w:b/>
          <w:bCs/>
          <w:color w:val="2C3E50"/>
          <w:sz w:val="24"/>
          <w:szCs w:val="24"/>
        </w:rPr>
        <w:t xml:space="preserve">Rekomendasi Perbaikan — Minimal KPI yang Harus Ada: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680"/>
        <w:gridCol w:w="1680"/>
      </w:tblGrid>
      <w:tr>
        <w:trPr>
          <w:tblHeader/>
        </w:trPr>
        <w:tc>
          <w:tcPr>
            <w:tcW w:type="dxa" w:w="30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30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Definisi</w:t>
            </w:r>
          </w:p>
        </w:tc>
        <w:tc>
          <w:tcPr>
            <w:tcW w:type="dxa" w:w="168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168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Frekuensi Review</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Deployment Success Rate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deployment yang berhasil tanpa rollback</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95%</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Change Failure Rate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perubahan yang menyebabkan insiden pasca-deploy</w:t>
            </w:r>
          </w:p>
        </w:tc>
        <w:tc>
          <w:tcPr>
            <w:tcW w:type="dxa" w:w="1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5%</w:t>
            </w:r>
          </w:p>
        </w:tc>
        <w:tc>
          <w:tcPr>
            <w:tcW w:type="dxa" w:w="1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Emergency Change Ratio</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emergency change dari total change</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10%</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Kuartalan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CAB On-Time Decision Rate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keputusan CAB yang diambil sesuai jadwal</w:t>
            </w:r>
          </w:p>
        </w:tc>
        <w:tc>
          <w:tcPr>
            <w:tcW w:type="dxa" w:w="1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90%</w:t>
            </w:r>
          </w:p>
        </w:tc>
        <w:tc>
          <w:tcPr>
            <w:tcW w:type="dxa" w:w="1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PIR Completion Rate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release yang PIR-nya selesai tepat waktu</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Unauthorized Change Rate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Jumlah perubahan production tanpa CAB approval</w:t>
            </w:r>
          </w:p>
        </w:tc>
        <w:tc>
          <w:tcPr>
            <w:tcW w:type="dxa" w:w="1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0</w:t>
            </w:r>
          </w:p>
        </w:tc>
        <w:tc>
          <w:tcPr>
            <w:tcW w:type="dxa" w:w="16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r>
    </w:tbl>
    <w:p>
      <w:pPr>
        <w:spacing w:after="80"/>
      </w:pPr>
      <w:r>
        <w:t xml:space="preserve"/>
      </w:r>
    </w:p>
    <w:p>
      <w:pPr>
        <w:pStyle w:val="Heading2"/>
      </w:pPr>
      <w:r>
        <w:rPr>
          <w:rFonts w:ascii="Arial" w:cs="Arial" w:eastAsia="Arial" w:hAnsi="Arial"/>
          <w:b/>
          <w:bCs/>
          <w:color w:val="2E6DA4"/>
          <w:sz w:val="28"/>
          <w:szCs w:val="28"/>
        </w:rPr>
        <w:t xml:space="preserve">2.10 [OFI] Early Life Support — Durasi Tidak Terdefinisi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Kategori</w:t>
            </w:r>
          </w:p>
        </w:tc>
        <w:tc>
          <w:tcPr>
            <w:tcW w:type="dxa" w:w="716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Opportunity for Improvement (OFI)</w:t>
            </w:r>
          </w:p>
        </w:tc>
      </w:tr>
      <w:tr>
        <w:tc>
          <w:tcPr>
            <w:tcW w:type="dxa" w:w="220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Kondisi Saat Ini</w:t>
            </w:r>
          </w:p>
        </w:tc>
        <w:tc>
          <w:tcPr>
            <w:tcW w:type="dxa" w:w="7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Hypercare/ELS tidak memiliki definisi durasi yang jelas. Tidak ada kriteria untuk mengakhiri periode ELS dan menyatakan release sudah stabil (Operation Handover Readiness).</w:t>
            </w:r>
          </w:p>
        </w:tc>
      </w:tr>
    </w:tbl>
    <w:p>
      <w:pPr>
        <w:spacing w:after="80"/>
      </w:pPr>
      <w:r>
        <w:t xml:space="preserve"/>
      </w:r>
    </w:p>
    <w:p>
      <w:pPr>
        <w:pStyle w:val="Heading3"/>
      </w:pPr>
      <w:r>
        <w:rPr>
          <w:rFonts w:ascii="Arial" w:cs="Arial" w:eastAsia="Arial" w:hAnsi="Arial"/>
          <w:b/>
          <w:bCs/>
          <w:color w:val="2C3E50"/>
          <w:sz w:val="24"/>
          <w:szCs w:val="24"/>
        </w:rPr>
        <w:t xml:space="preserve">Rekomendasi Perbaikan:</w:t>
      </w:r>
    </w:p>
    <w:p>
      <w:pPr>
        <w:spacing w:after="120"/>
      </w:pPr>
      <w:r>
        <w:rPr>
          <w:rFonts w:ascii="Arial" w:cs="Arial" w:eastAsia="Arial" w:hAnsi="Arial"/>
          <w:sz w:val="22"/>
          <w:szCs w:val="22"/>
        </w:rPr>
        <w:t xml:space="preserve">Definisikan durasi ELS berdasarkan tipe perubahan: Standard change — 3 hari kerja, Normal change — 5 hari kerja, Major change — 10 hari kerja, Emergency change — 3 hari kerja. Tambahkan kriteria keluar dari ELS: tidak ada P1/P2 incident terkait release selama minimal 2 hari kerja terakhir, dan SLA sistem kembali normal.</w:t>
      </w:r>
    </w:p>
    <w:p>
      <w:pPr>
        <w:pStyle w:val="Heading1"/>
        <w:pageBreakBefore/>
      </w:pPr>
      <w:r>
        <w:rPr>
          <w:rFonts w:ascii="Arial" w:cs="Arial" w:eastAsia="Arial" w:hAnsi="Arial"/>
          <w:b/>
          <w:bCs/>
          <w:color w:val="1B3A6B"/>
          <w:sz w:val="32"/>
          <w:szCs w:val="32"/>
        </w:rPr>
        <w:t xml:space="preserve">3. Action Plan &amp; Prioritas Perbaikan</w:t>
      </w:r>
    </w:p>
    <w:p>
      <w:pPr>
        <w:spacing w:after="120"/>
      </w:pPr>
      <w:r>
        <w:rPr>
          <w:rFonts w:ascii="Arial" w:cs="Arial" w:eastAsia="Arial" w:hAnsi="Arial"/>
          <w:sz w:val="22"/>
          <w:szCs w:val="22"/>
        </w:rPr>
        <w:t xml:space="preserve">Berikut adalah action plan yang diprioritaskan berdasarkan risiko. Item dengan prioritas CRITICAL harus diselesaikan sebelum proses audit ISO 27001 dilaksanakan.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500"/>
        <w:gridCol w:w="1500"/>
        <w:gridCol w:w="1500"/>
        <w:gridCol w:w="1760"/>
      </w:tblGrid>
      <w:tr>
        <w:trPr>
          <w:tblHeader/>
        </w:trPr>
        <w:tc>
          <w:tcPr>
            <w:tcW w:type="dxa" w:w="3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8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Item</w:t>
            </w:r>
          </w:p>
        </w:tc>
        <w:tc>
          <w:tcPr>
            <w:tcW w:type="dxa" w:w="15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Prioritas</w:t>
            </w:r>
          </w:p>
        </w:tc>
        <w:tc>
          <w:tcPr>
            <w:tcW w:type="dxa" w:w="15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PIC</w:t>
            </w:r>
          </w:p>
        </w:tc>
        <w:tc>
          <w:tcPr>
            <w:tcW w:type="dxa" w:w="150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1760"/>
            <w:tcBorders>
              <w:top w:val="single" w:color="BDC3C7" w:sz="1"/>
              <w:left w:val="single" w:color="BDC3C7" w:sz="1"/>
              <w:bottom w:val="single" w:color="BDC3C7" w:sz="1"/>
              <w:right w:val="single" w:color="BDC3C7"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Tambahkan Document Control Header (nomor dok, versi, approver, change history)</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 CRITICAL</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Head IT DevSecOps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minggu</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Open</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Buat Change Classification Matrix (Standard/Normal/Major/Emergency)</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 CRITICAL</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CAB Manager</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minggu</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Open</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Tambahkan klausul Segregation of Duties &amp; Access Control Matrix untuk environment</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 CRITICAL</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Head IT Ops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minggu</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Open</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Buat Go/No-Go Checklist dengan kriteria kuantitatif yang terstandarisasi</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 CRITICAL</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CAB Manager</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minggu</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Open</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Tambahkan ketentuan Audit Trail / Logging untuk semua deployment ke Production</w:t>
            </w:r>
          </w:p>
        </w:tc>
        <w:tc>
          <w:tcPr>
            <w:tcW w:type="dxa" w:w="15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 CRITICAL</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Head IT Ops &amp; Head DevSecOps</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minggu</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Open</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Lengkapi Rollback Decision Matrix (trigger, authority, time limit, escalation)</w:t>
            </w:r>
          </w:p>
        </w:tc>
        <w:tc>
          <w:tcPr>
            <w:tcW w:type="dxa" w:w="15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 HIGH</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 Manager</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minggu</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Open</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Tambahkan Regulatory Alignment section (POJK No.11/2022, SE OJK)</w:t>
            </w:r>
          </w:p>
        </w:tc>
        <w:tc>
          <w:tcPr>
            <w:tcW w:type="dxa" w:w="15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 HIGH</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IT Security &amp; Compliance</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minggu</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Open</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Buat/referensikan SOP Emergency Change yang terpisah dan lengkap</w:t>
            </w:r>
          </w:p>
        </w:tc>
        <w:tc>
          <w:tcPr>
            <w:tcW w:type="dxa" w:w="15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 MEDIUM</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CAB Manager</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 minggu</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Open</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Tambahkan KPI / Performance Metrics (Deployment Success Rate, Change Failure Rate, dll)</w:t>
            </w:r>
          </w:p>
        </w:tc>
        <w:tc>
          <w:tcPr>
            <w:tcW w:type="dxa" w:w="15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 MEDIUM</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CAB Owner</w:t>
            </w:r>
          </w:p>
        </w:tc>
        <w:tc>
          <w:tcPr>
            <w:tcW w:type="dxa" w:w="15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 minggu</w:t>
            </w:r>
          </w:p>
        </w:tc>
        <w:tc>
          <w:tcPr>
            <w:tcW w:type="dxa" w:w="1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Open</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Definisikan durasi ELS per tipe perubahan dan kriteria keluar dari Hypercare</w:t>
            </w:r>
          </w:p>
        </w:tc>
        <w:tc>
          <w:tcPr>
            <w:tcW w:type="dxa" w:w="1500"/>
            <w:tcBorders>
              <w:top w:val="single" w:color="BDC3C7" w:sz="1"/>
              <w:left w:val="single" w:color="BDC3C7" w:sz="1"/>
              <w:bottom w:val="single" w:color="BDC3C7" w:sz="1"/>
              <w:right w:val="single" w:color="BDC3C7" w:sz="1"/>
            </w:tcBorders>
            <w:shd w:fill="D5F5E3"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 OFI</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 Manager</w:t>
            </w:r>
          </w:p>
        </w:tc>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minggu</w:t>
            </w:r>
          </w:p>
        </w:tc>
        <w:tc>
          <w:tcPr>
            <w:tcW w:type="dxa" w:w="1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Open</w:t>
            </w:r>
          </w:p>
        </w:tc>
      </w:tr>
    </w:tbl>
    <w:p>
      <w:pPr>
        <w:pStyle w:val="Heading1"/>
        <w:pageBreakBefore/>
      </w:pPr>
      <w:r>
        <w:rPr>
          <w:rFonts w:ascii="Arial" w:cs="Arial" w:eastAsia="Arial" w:hAnsi="Arial"/>
          <w:b/>
          <w:bCs/>
          <w:color w:val="1B3A6B"/>
          <w:sz w:val="32"/>
          <w:szCs w:val="32"/>
        </w:rPr>
        <w:t xml:space="preserve">4. Penutup &amp; Disclaimer</w:t>
      </w:r>
    </w:p>
    <w:p>
      <w:pPr>
        <w:spacing w:after="120"/>
      </w:pPr>
      <w:r>
        <w:rPr>
          <w:rFonts w:ascii="Arial" w:cs="Arial" w:eastAsia="Arial" w:hAnsi="Arial"/>
          <w:sz w:val="22"/>
          <w:szCs w:val="22"/>
        </w:rPr>
        <w:t xml:space="preserve">Dokumen ini disusun sebagai internal gap analysis dan tidak merupakan hasil audit resmi ISO 27001. Temuan dalam dokumen ini dimaksudkan sebagai masukan konstruktif untuk mempersiapkan proses sertifikasi atau surveillance audit ISO 27001:2022.</w:t>
      </w:r>
    </w:p>
    <w:p>
      <w:pPr>
        <w:spacing w:after="80"/>
      </w:pPr>
      <w:r>
        <w:t xml:space="preserve"/>
      </w:r>
    </w:p>
    <w:p>
      <w:pPr>
        <w:spacing w:after="120"/>
      </w:pPr>
      <w:r>
        <w:rPr>
          <w:rFonts w:ascii="Arial" w:cs="Arial" w:eastAsia="Arial" w:hAnsi="Arial"/>
          <w:sz w:val="22"/>
          <w:szCs w:val="22"/>
        </w:rPr>
        <w:t xml:space="preserve">Perbaikan yang disarankan dalam dokumen ini hendaknya diimplementasikan oleh fungsi yang bertanggung jawab (IT Security &amp; Compliance, CAB Manager, Head IT Ops) dan direview ulang sebelum audit eksternal dilaksanakan.</w:t>
      </w:r>
    </w:p>
    <w:p>
      <w:pPr>
        <w:spacing w:after="80"/>
      </w:pPr>
      <w:r>
        <w:t xml:space="preserve"/>
      </w:r>
    </w:p>
    <w:p>
      <w:pPr>
        <w:spacing w:after="120"/>
      </w:pPr>
      <w:r>
        <w:rPr>
          <w:rFonts w:ascii="Arial" w:cs="Arial" w:eastAsia="Arial" w:hAnsi="Arial"/>
          <w:b/>
          <w:bCs/>
          <w:sz w:val="22"/>
          <w:szCs w:val="22"/>
        </w:rPr>
        <w:t xml:space="preserve">Dokumen ini bersifat CONFIDENTIAL dan hanya untuk penggunaan internal PT Equity Life Indonesia.</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Disiapkan oleh</w:t>
            </w:r>
          </w:p>
        </w:tc>
        <w:tc>
          <w:tcPr>
            <w:tcW w:type="dxa" w:w="4680"/>
            <w:tcBorders>
              <w:top w:val="single" w:color="BDC3C7" w:sz="1"/>
              <w:left w:val="single" w:color="BDC3C7" w:sz="1"/>
              <w:bottom w:val="single" w:color="BDC3C7" w:sz="1"/>
              <w:right w:val="single" w:color="BDC3C7" w:sz="1"/>
            </w:tcBorders>
            <w:shd w:fill="D6E8F7"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Disetujui oleh</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46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sz w:val="20"/>
                <w:szCs w:val="20"/>
              </w:rPr>
              <w:t xml:space="preserve">IT Security &amp; Compliance</w:t>
            </w:r>
          </w:p>
          <w:p>
            <w:pPr>
              <w:jc w:val="center"/>
            </w:pPr>
            <w:r>
              <w:rPr>
                <w:rFonts w:ascii="Arial" w:cs="Arial" w:eastAsia="Arial" w:hAnsi="Arial"/>
                <w:sz w:val="20"/>
                <w:szCs w:val="20"/>
              </w:rPr>
              <w:t xml:space="preserve">PT Equity Life Indonesia</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center"/>
            </w:pPr>
            <w:r>
              <w:rPr>
                <w:rFonts w:ascii="Arial" w:cs="Arial" w:eastAsia="Arial" w:hAnsi="Arial"/>
                <w:b/>
                <w:bCs/>
                <w:sz w:val="20"/>
                <w:szCs w:val="20"/>
              </w:rPr>
              <w:t xml:space="preserve">Head of IT / CTO</w:t>
            </w:r>
          </w:p>
          <w:p>
            <w:pPr>
              <w:jc w:val="center"/>
            </w:pPr>
            <w:r>
              <w:rPr>
                <w:rFonts w:ascii="Arial" w:cs="Arial" w:eastAsia="Arial" w:hAnsi="Arial"/>
                <w:sz w:val="20"/>
                <w:szCs w:val="20"/>
              </w:rPr>
              <w:t xml:space="preserve">PT Equity Life Indonesia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pPr>
    <w:r>
      <w:rPr>
        <w:rFonts w:ascii="Arial" w:cs="Arial" w:eastAsia="Arial" w:hAnsi="Arial"/>
        <w:color w:val="666666"/>
        <w:sz w:val="18"/>
        <w:szCs w:val="18"/>
      </w:rPr>
      <w:t xml:space="preserve">PT Equity Life Indonesia  —  IT Security &amp; Compliance  —  10 Maret 2026</w:t>
    </w:r>
    <w:r>
      <w:rPr>
        <w:rFonts w:ascii="Arial" w:cs="Arial" w:eastAsia="Arial" w:hAnsi="Arial"/>
        <w:color w:val="666666"/>
        <w:sz w:val="18"/>
        <w:szCs w:val="18"/>
      </w:rPr>
      <w:t xml:space="preserve">          Halaman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rFonts w:ascii="Arial" w:cs="Arial" w:eastAsia="Arial" w:hAnsi="Arial"/>
        <w:b/>
        <w:bCs/>
        <w:color w:val="2E6DA4"/>
        <w:sz w:val="18"/>
        <w:szCs w:val="18"/>
      </w:rPr>
      <w:t xml:space="preserve">GAP ANALYSIS — ELI IT Release Management vs ISO 27001:2022</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B3A6B"/>
      <w:sz w:val="32"/>
      <w:szCs w:val="32"/>
    </w:rPr>
  </w:style>
  <w:style w:type="paragraph" w:styleId="Heading2">
    <w:name w:val="Heading 2"/>
    <w:basedOn w:val="Normal"/>
    <w:next w:val="Normal"/>
    <w:qFormat/>
    <w:pPr>
      <w:spacing w:before="20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16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2026-03-10T07:23:22.210Z</dcterms:created>
  <dcterms:modified xsi:type="dcterms:W3CDTF">2026-03-10T07:23:22.211Z</dcterms:modified>
</cp:coreProperties>
</file>

<file path=docProps/custom.xml><?xml version="1.0" encoding="utf-8"?>
<Properties xmlns="http://schemas.openxmlformats.org/officeDocument/2006/custom-properties" xmlns:vt="http://schemas.openxmlformats.org/officeDocument/2006/docPropsVTypes"/>
</file>