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0"/>
          <w:szCs w:val="80"/>
        </w:rPr>
        <w:t xml:space="preserve"/>
      </w:r>
    </w:p>
    <w:p>
      <w:pPr>
        <w:jc w:val="center"/>
      </w:pPr>
      <w:r>
        <w:rPr>
          <w:rFonts w:ascii="Arial" w:cs="Arial" w:eastAsia="Arial" w:hAnsi="Arial"/>
          <w:b/>
          <w:bCs/>
          <w:color w:val="1B3A6B"/>
          <w:sz w:val="52"/>
          <w:szCs w:val="52"/>
        </w:rPr>
        <w:t xml:space="preserve">PT EQUITY LIFE INDONESIA</w:t>
      </w:r>
    </w:p>
    <w:p>
      <w:r>
        <w:rPr>
          <w:sz w:val="20"/>
          <w:szCs w:val="20"/>
        </w:rPr>
        <w:t xml:space="preserve"/>
      </w:r>
    </w:p>
    <w:p>
      <w:pPr>
        <w:pBdr>
          <w:bottom w:val="single" w:color="2E75B6" w:sz="8" w:space="4"/>
        </w:pBdr>
        <w:jc w:val="center"/>
      </w:pPr>
      <w:r>
        <w:rPr>
          <w:sz w:val="20"/>
          <w:szCs w:val="20"/>
        </w:rPr>
        <w:t xml:space="preserve"/>
      </w:r>
    </w:p>
    <w:p>
      <w:r>
        <w:rPr>
          <w:sz w:val="40"/>
          <w:szCs w:val="40"/>
        </w:rPr>
        <w:t xml:space="preserve"/>
      </w:r>
    </w:p>
    <w:p>
      <w:pPr>
        <w:jc w:val="center"/>
      </w:pPr>
      <w:r>
        <w:rPr>
          <w:rFonts w:ascii="Arial" w:cs="Arial" w:eastAsia="Arial" w:hAnsi="Arial"/>
          <w:b/>
          <w:bCs/>
          <w:color w:val="2E75B6"/>
          <w:sz w:val="30"/>
          <w:szCs w:val="30"/>
        </w:rPr>
        <w:t xml:space="preserve">INFORMATION SECURITY MANAGEMENT SYSTEM</w:t>
      </w:r>
    </w:p>
    <w:p>
      <w:r>
        <w:rPr>
          <w:sz w:val="20"/>
          <w:szCs w:val="20"/>
        </w:rPr>
        <w:t xml:space="preserve"/>
      </w:r>
    </w:p>
    <w:p>
      <w:pPr>
        <w:jc w:val="center"/>
      </w:pPr>
      <w:r>
        <w:rPr>
          <w:rFonts w:ascii="Arial" w:cs="Arial" w:eastAsia="Arial" w:hAnsi="Arial"/>
          <w:b/>
          <w:bCs/>
          <w:color w:val="1B3A6B"/>
          <w:sz w:val="44"/>
          <w:szCs w:val="44"/>
        </w:rPr>
        <w:t xml:space="preserve">SECURITY METRICS REPORT</w:t>
      </w:r>
    </w:p>
    <w:p>
      <w:r>
        <w:rPr>
          <w:sz w:val="20"/>
          <w:szCs w:val="20"/>
        </w:rPr>
        <w:t xml:space="preserve"/>
      </w:r>
    </w:p>
    <w:p>
      <w:pPr>
        <w:jc w:val="center"/>
      </w:pPr>
      <w:r>
        <w:rPr>
          <w:rFonts w:ascii="Arial" w:cs="Arial" w:eastAsia="Arial" w:hAnsi="Arial"/>
          <w:b/>
          <w:bCs/>
          <w:color w:val="2E75B6"/>
          <w:sz w:val="26"/>
          <w:szCs w:val="26"/>
        </w:rPr>
        <w:t xml:space="preserve">ISO/IEC 27001:2022 Compliance</w:t>
      </w:r>
    </w:p>
    <w:p>
      <w:r>
        <w:rPr>
          <w:sz w:val="60"/>
          <w:szCs w:val="6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6"/>
              <w:left w:val="single" w:color="2E75B6" w:sz="6"/>
              <w:bottom w:val="single" w:color="2E75B6" w:sz="6"/>
              <w:right w:val="single" w:color="2E75B6" w:sz="6"/>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Report Period</w:t>
            </w:r>
          </w:p>
        </w:tc>
        <w:tc>
          <w:tcPr>
            <w:tcW w:type="dxa" w:w="3600"/>
            <w:tcBorders>
              <w:top w:val="single" w:color="2E75B6" w:sz="6"/>
              <w:left w:val="single" w:color="2E75B6" w:sz="6"/>
              <w:bottom w:val="single" w:color="2E75B6" w:sz="6"/>
              <w:right w:val="single" w:color="2E75B6" w:sz="6"/>
            </w:tcBorders>
            <w:shd w:fill="EBF3FB" w:val="clear"/>
            <w:tcMar>
              <w:top w:type="dxa" w:w="100"/>
              <w:left w:type="dxa" w:w="120"/>
              <w:bottom w:type="dxa" w:w="100"/>
              <w:right w:type="dxa" w:w="120"/>
            </w:tcMar>
          </w:tcPr>
          <w:p>
            <w:r>
              <w:rPr>
                <w:rFonts w:ascii="Arial" w:cs="Arial" w:eastAsia="Arial" w:hAnsi="Arial"/>
                <w:b/>
                <w:bCs/>
                <w:color w:val="1F2D3D"/>
                <w:sz w:val="20"/>
                <w:szCs w:val="20"/>
              </w:rPr>
              <w:t xml:space="preserve">January - December 2026</w:t>
            </w:r>
          </w:p>
        </w:tc>
      </w:tr>
      <w:tr>
        <w:tc>
          <w:tcPr>
            <w:tcW w:type="dxa" w:w="2400"/>
            <w:tcBorders>
              <w:top w:val="single" w:color="2E75B6" w:sz="6"/>
              <w:left w:val="single" w:color="2E75B6" w:sz="6"/>
              <w:bottom w:val="single" w:color="2E75B6" w:sz="6"/>
              <w:right w:val="single" w:color="2E75B6" w:sz="6"/>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Report Date</w:t>
            </w:r>
          </w:p>
        </w:tc>
        <w:tc>
          <w:tcPr>
            <w:tcW w:type="dxa" w:w="3600"/>
            <w:tcBorders>
              <w:top w:val="single" w:color="2E75B6" w:sz="6"/>
              <w:left w:val="single" w:color="2E75B6" w:sz="6"/>
              <w:bottom w:val="single" w:color="2E75B6" w:sz="6"/>
              <w:right w:val="single" w:color="2E75B6" w:sz="6"/>
            </w:tcBorders>
            <w:shd w:fill="FFFFFF" w:val="clear"/>
            <w:tcMar>
              <w:top w:type="dxa" w:w="100"/>
              <w:left w:type="dxa" w:w="120"/>
              <w:bottom w:type="dxa" w:w="100"/>
              <w:right w:type="dxa" w:w="120"/>
            </w:tcMar>
          </w:tcPr>
          <w:p>
            <w:r>
              <w:rPr>
                <w:rFonts w:ascii="Arial" w:cs="Arial" w:eastAsia="Arial" w:hAnsi="Arial"/>
                <w:b/>
                <w:bCs/>
                <w:color w:val="1F2D3D"/>
                <w:sz w:val="20"/>
                <w:szCs w:val="20"/>
              </w:rPr>
              <w:t xml:space="preserve">March 16, 2026</w:t>
            </w:r>
          </w:p>
        </w:tc>
      </w:tr>
      <w:tr>
        <w:tc>
          <w:tcPr>
            <w:tcW w:type="dxa" w:w="2400"/>
            <w:tcBorders>
              <w:top w:val="single" w:color="2E75B6" w:sz="6"/>
              <w:left w:val="single" w:color="2E75B6" w:sz="6"/>
              <w:bottom w:val="single" w:color="2E75B6" w:sz="6"/>
              <w:right w:val="single" w:color="2E75B6" w:sz="6"/>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Classification</w:t>
            </w:r>
          </w:p>
        </w:tc>
        <w:tc>
          <w:tcPr>
            <w:tcW w:type="dxa" w:w="3600"/>
            <w:tcBorders>
              <w:top w:val="single" w:color="2E75B6" w:sz="6"/>
              <w:left w:val="single" w:color="2E75B6" w:sz="6"/>
              <w:bottom w:val="single" w:color="2E75B6" w:sz="6"/>
              <w:right w:val="single" w:color="2E75B6" w:sz="6"/>
            </w:tcBorders>
            <w:shd w:fill="EBF3FB" w:val="clear"/>
            <w:tcMar>
              <w:top w:type="dxa" w:w="100"/>
              <w:left w:type="dxa" w:w="120"/>
              <w:bottom w:type="dxa" w:w="100"/>
              <w:right w:type="dxa" w:w="120"/>
            </w:tcMar>
          </w:tcPr>
          <w:p>
            <w:r>
              <w:rPr>
                <w:rFonts w:ascii="Arial" w:cs="Arial" w:eastAsia="Arial" w:hAnsi="Arial"/>
                <w:b/>
                <w:bCs/>
                <w:color w:val="9C0006"/>
                <w:sz w:val="20"/>
                <w:szCs w:val="20"/>
              </w:rPr>
              <w:t xml:space="preserve">CONFIDENTIAL - INTERNAL USE ONLY</w:t>
            </w:r>
          </w:p>
        </w:tc>
      </w:tr>
      <w:tr>
        <w:tc>
          <w:tcPr>
            <w:tcW w:type="dxa" w:w="2400"/>
            <w:tcBorders>
              <w:top w:val="single" w:color="2E75B6" w:sz="6"/>
              <w:left w:val="single" w:color="2E75B6" w:sz="6"/>
              <w:bottom w:val="single" w:color="2E75B6" w:sz="6"/>
              <w:right w:val="single" w:color="2E75B6" w:sz="6"/>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Document No.</w:t>
            </w:r>
          </w:p>
        </w:tc>
        <w:tc>
          <w:tcPr>
            <w:tcW w:type="dxa" w:w="3600"/>
            <w:tcBorders>
              <w:top w:val="single" w:color="2E75B6" w:sz="6"/>
              <w:left w:val="single" w:color="2E75B6" w:sz="6"/>
              <w:bottom w:val="single" w:color="2E75B6" w:sz="6"/>
              <w:right w:val="single" w:color="2E75B6" w:sz="6"/>
            </w:tcBorders>
            <w:shd w:fill="FFFFFF" w:val="clear"/>
            <w:tcMar>
              <w:top w:type="dxa" w:w="100"/>
              <w:left w:type="dxa" w:w="120"/>
              <w:bottom w:type="dxa" w:w="100"/>
              <w:right w:type="dxa" w:w="120"/>
            </w:tcMar>
          </w:tcPr>
          <w:p>
            <w:r>
              <w:rPr>
                <w:rFonts w:ascii="Arial" w:cs="Arial" w:eastAsia="Arial" w:hAnsi="Arial"/>
                <w:b/>
                <w:bCs/>
                <w:color w:val="1F2D3D"/>
                <w:sz w:val="20"/>
                <w:szCs w:val="20"/>
              </w:rPr>
              <w:t xml:space="preserve">ELI-ISMS-MET-2026-001</w:t>
            </w:r>
          </w:p>
        </w:tc>
      </w:tr>
      <w:tr>
        <w:tc>
          <w:tcPr>
            <w:tcW w:type="dxa" w:w="2400"/>
            <w:tcBorders>
              <w:top w:val="single" w:color="2E75B6" w:sz="6"/>
              <w:left w:val="single" w:color="2E75B6" w:sz="6"/>
              <w:bottom w:val="single" w:color="2E75B6" w:sz="6"/>
              <w:right w:val="single" w:color="2E75B6" w:sz="6"/>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Prepared by</w:t>
            </w:r>
          </w:p>
        </w:tc>
        <w:tc>
          <w:tcPr>
            <w:tcW w:type="dxa" w:w="3600"/>
            <w:tcBorders>
              <w:top w:val="single" w:color="2E75B6" w:sz="6"/>
              <w:left w:val="single" w:color="2E75B6" w:sz="6"/>
              <w:bottom w:val="single" w:color="2E75B6" w:sz="6"/>
              <w:right w:val="single" w:color="2E75B6" w:sz="6"/>
            </w:tcBorders>
            <w:shd w:fill="EBF3FB" w:val="clear"/>
            <w:tcMar>
              <w:top w:type="dxa" w:w="100"/>
              <w:left w:type="dxa" w:w="120"/>
              <w:bottom w:type="dxa" w:w="100"/>
              <w:right w:type="dxa" w:w="120"/>
            </w:tcMar>
          </w:tcPr>
          <w:p>
            <w:r>
              <w:rPr>
                <w:rFonts w:ascii="Arial" w:cs="Arial" w:eastAsia="Arial" w:hAnsi="Arial"/>
                <w:b w:val="false"/>
                <w:bCs w:val="false"/>
                <w:color w:val="1F2D3D"/>
                <w:sz w:val="20"/>
                <w:szCs w:val="20"/>
              </w:rPr>
              <w:t xml:space="preserve">ISMS Team / Information Security Division</w:t>
            </w:r>
          </w:p>
        </w:tc>
      </w:tr>
      <w:tr>
        <w:tc>
          <w:tcPr>
            <w:tcW w:type="dxa" w:w="2400"/>
            <w:tcBorders>
              <w:top w:val="single" w:color="2E75B6" w:sz="6"/>
              <w:left w:val="single" w:color="2E75B6" w:sz="6"/>
              <w:bottom w:val="single" w:color="2E75B6" w:sz="6"/>
              <w:right w:val="single" w:color="2E75B6" w:sz="6"/>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Approved by</w:t>
            </w:r>
          </w:p>
        </w:tc>
        <w:tc>
          <w:tcPr>
            <w:tcW w:type="dxa" w:w="3600"/>
            <w:tcBorders>
              <w:top w:val="single" w:color="2E75B6" w:sz="6"/>
              <w:left w:val="single" w:color="2E75B6" w:sz="6"/>
              <w:bottom w:val="single" w:color="2E75B6" w:sz="6"/>
              <w:right w:val="single" w:color="2E75B6" w:sz="6"/>
            </w:tcBorders>
            <w:shd w:fill="FFFFFF" w:val="clear"/>
            <w:tcMar>
              <w:top w:type="dxa" w:w="100"/>
              <w:left w:type="dxa" w:w="120"/>
              <w:bottom w:type="dxa" w:w="100"/>
              <w:right w:type="dxa" w:w="120"/>
            </w:tcMar>
          </w:tcPr>
          <w:p>
            <w:r>
              <w:rPr>
                <w:rFonts w:ascii="Arial" w:cs="Arial" w:eastAsia="Arial" w:hAnsi="Arial"/>
                <w:b w:val="false"/>
                <w:bCs w:val="false"/>
                <w:color w:val="1F2D3D"/>
                <w:sz w:val="20"/>
                <w:szCs w:val="20"/>
              </w:rPr>
              <w:t xml:space="preserve">Director of IT &amp; Operations</w:t>
            </w:r>
          </w:p>
        </w:tc>
      </w:tr>
    </w:tbl>
    <w:p>
      <w:r>
        <w:rPr>
          <w:sz w:val="60"/>
          <w:szCs w:val="60"/>
        </w:rPr>
        <w:t xml:space="preserve"/>
      </w:r>
    </w:p>
    <w:p>
      <w:pPr>
        <w:pBdr>
          <w:top w:val="single" w:color="2E75B6" w:sz="6" w:space="4"/>
        </w:pBdr>
        <w:jc w:val="center"/>
      </w:pPr>
      <w:r>
        <w:rPr>
          <w:rFonts w:ascii="Arial" w:cs="Arial" w:eastAsia="Arial" w:hAnsi="Arial"/>
          <w:color w:val="2E75B6"/>
          <w:sz w:val="18"/>
          <w:szCs w:val="18"/>
        </w:rPr>
        <w:t xml:space="preserve">ISO/IEC 27001:2022 | PT Equity Life Indonesia | Audit Year 2026</w:t>
      </w:r>
    </w:p>
    <w:p>
      <w:r>
        <w:br w:type="page"/>
      </w:r>
    </w:p>
    <w:p>
      <w:pPr>
        <w:pStyle w:val="Heading1"/>
      </w:pPr>
      <w:r>
        <w:rPr>
          <w:rFonts w:ascii="Arial" w:cs="Arial" w:eastAsia="Arial" w:hAnsi="Arial"/>
        </w:rPr>
        <w:t xml:space="preserve">1. Executive Summary</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This Security Metrics Report provides a comprehensive assessment of PT Equity Life Indonesia's Information Security Management System (ISMS) performance for the period January to December 2026, aligned with ISO/IEC 27001:2022 requirements. The report consolidates key performance indicators (KPIs), compliance status, incident statistics, risk posture, and audit findings to support management decision-making and ongoing certification maintenance.</w:t>
      </w:r>
    </w:p>
    <w:p>
      <w:r>
        <w:rPr>
          <w:sz w:val="20"/>
          <w:szCs w:val="20"/>
        </w:rPr>
        <w:t xml:space="preserve"/>
      </w:r>
    </w:p>
    <w:p>
      <w:r>
        <w:rPr>
          <w:rFonts w:ascii="Arial" w:cs="Arial" w:eastAsia="Arial" w:hAnsi="Arial"/>
          <w:b/>
          <w:bCs/>
          <w:color w:val="1B3A6B"/>
          <w:sz w:val="22"/>
          <w:szCs w:val="22"/>
        </w:rPr>
        <w:t xml:space="preserve">1.1 Overall ISMS Performance Dashboard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60"/>
        <w:gridCol w:w="2800"/>
      </w:tblGrid>
      <w:tr>
        <w:tc>
          <w:tcPr>
            <w:tcW w:type="dxa" w:w="1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 Category</w:t>
            </w:r>
          </w:p>
        </w:tc>
        <w:tc>
          <w:tcPr>
            <w:tcW w:type="dxa" w:w="24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 / Threshold</w:t>
            </w:r>
          </w:p>
        </w:tc>
        <w:tc>
          <w:tcPr>
            <w:tcW w:type="dxa" w:w="23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2026 Result (YTD)</w:t>
            </w:r>
          </w:p>
        </w:tc>
        <w:tc>
          <w:tcPr>
            <w:tcW w:type="dxa" w:w="2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ISMS Overall Compliance</w:t>
            </w:r>
          </w:p>
        </w:tc>
        <w:tc>
          <w:tcPr>
            <w:tcW w:type="dxa" w:w="2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&gt;= 90%</w:t>
            </w:r>
          </w:p>
        </w:tc>
        <w:tc>
          <w:tcPr>
            <w:tcW w:type="dxa" w:w="2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87%</w:t>
            </w:r>
          </w:p>
        </w:tc>
        <w:tc>
          <w:tcPr>
            <w:tcW w:type="dxa" w:w="28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Security Incidents (Critical)</w:t>
            </w:r>
          </w:p>
        </w:tc>
        <w:tc>
          <w:tcPr>
            <w:tcW w:type="dxa" w:w="2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0 Critical Incidents</w:t>
            </w:r>
          </w:p>
        </w:tc>
        <w:tc>
          <w:tcPr>
            <w:tcW w:type="dxa" w:w="2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 Critical Incident</w:t>
            </w:r>
          </w:p>
        </w:tc>
        <w:tc>
          <w:tcPr>
            <w:tcW w:type="dxa" w:w="28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7"/>
                <w:szCs w:val="17"/>
              </w:rPr>
              <w:t xml:space="preserve">✗ Not Achieved</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ISO 27001 Open Findings</w:t>
            </w:r>
          </w:p>
        </w:tc>
        <w:tc>
          <w:tcPr>
            <w:tcW w:type="dxa" w:w="2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0 Open Findings</w:t>
            </w:r>
          </w:p>
        </w:tc>
        <w:tc>
          <w:tcPr>
            <w:tcW w:type="dxa" w:w="2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18 Open Findings</w:t>
            </w:r>
          </w:p>
        </w:tc>
        <w:tc>
          <w:tcPr>
            <w:tcW w:type="dxa" w:w="28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7"/>
                <w:szCs w:val="17"/>
              </w:rPr>
              <w:t xml:space="preserve">● Critical</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Risk Treatment Completion</w:t>
            </w:r>
          </w:p>
        </w:tc>
        <w:tc>
          <w:tcPr>
            <w:tcW w:type="dxa" w:w="2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&gt;= 85%</w:t>
            </w:r>
          </w:p>
        </w:tc>
        <w:tc>
          <w:tcPr>
            <w:tcW w:type="dxa" w:w="2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78%</w:t>
            </w:r>
          </w:p>
        </w:tc>
        <w:tc>
          <w:tcPr>
            <w:tcW w:type="dxa" w:w="28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At Risk</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Security Awareness Training</w:t>
            </w:r>
          </w:p>
        </w:tc>
        <w:tc>
          <w:tcPr>
            <w:tcW w:type="dxa" w:w="2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100% Staff Completion</w:t>
            </w:r>
          </w:p>
        </w:tc>
        <w:tc>
          <w:tcPr>
            <w:tcW w:type="dxa" w:w="2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92%</w:t>
            </w:r>
          </w:p>
        </w:tc>
        <w:tc>
          <w:tcPr>
            <w:tcW w:type="dxa" w:w="28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Vulnerability Patch Rate</w:t>
            </w:r>
          </w:p>
        </w:tc>
        <w:tc>
          <w:tcPr>
            <w:tcW w:type="dxa" w:w="2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&gt;= 95% within SLA</w:t>
            </w:r>
          </w:p>
        </w:tc>
        <w:tc>
          <w:tcPr>
            <w:tcW w:type="dxa" w:w="2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96%</w:t>
            </w:r>
          </w:p>
        </w:tc>
        <w:tc>
          <w:tcPr>
            <w:tcW w:type="dxa" w:w="28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BCP/DRP Test Completion</w:t>
            </w:r>
          </w:p>
        </w:tc>
        <w:tc>
          <w:tcPr>
            <w:tcW w:type="dxa" w:w="2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1 Full Test / Year</w:t>
            </w:r>
          </w:p>
        </w:tc>
        <w:tc>
          <w:tcPr>
            <w:tcW w:type="dxa" w:w="2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 Test Completed</w:t>
            </w:r>
          </w:p>
        </w:tc>
        <w:tc>
          <w:tcPr>
            <w:tcW w:type="dxa" w:w="28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Access Review Completion</w:t>
            </w:r>
          </w:p>
        </w:tc>
        <w:tc>
          <w:tcPr>
            <w:tcW w:type="dxa" w:w="2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Quarterly (4x/year)</w:t>
            </w:r>
          </w:p>
        </w:tc>
        <w:tc>
          <w:tcPr>
            <w:tcW w:type="dxa" w:w="2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2 of 4 Done (Q1 Review)</w:t>
            </w:r>
          </w:p>
        </w:tc>
        <w:tc>
          <w:tcPr>
            <w:tcW w:type="dxa" w:w="28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On Track</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Internal Audit Completion</w:t>
            </w:r>
          </w:p>
        </w:tc>
        <w:tc>
          <w:tcPr>
            <w:tcW w:type="dxa" w:w="2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2x per Year (min)</w:t>
            </w:r>
          </w:p>
        </w:tc>
        <w:tc>
          <w:tcPr>
            <w:tcW w:type="dxa" w:w="2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 Completed (Q1 2026)</w:t>
            </w:r>
          </w:p>
        </w:tc>
        <w:tc>
          <w:tcPr>
            <w:tcW w:type="dxa" w:w="28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On Track</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Management Review</w:t>
            </w:r>
          </w:p>
        </w:tc>
        <w:tc>
          <w:tcPr>
            <w:tcW w:type="dxa" w:w="2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2x per Year (min)</w:t>
            </w:r>
          </w:p>
        </w:tc>
        <w:tc>
          <w:tcPr>
            <w:tcW w:type="dxa" w:w="2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 Completed (Jan 2026)</w:t>
            </w:r>
          </w:p>
        </w:tc>
        <w:tc>
          <w:tcPr>
            <w:tcW w:type="dxa" w:w="28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On Track</w:t>
            </w:r>
          </w:p>
        </w:tc>
      </w:tr>
    </w:tbl>
    <w:p>
      <w:r>
        <w:rPr>
          <w:sz w:val="40"/>
          <w:szCs w:val="40"/>
        </w:rPr>
        <w:t xml:space="preserve"/>
      </w:r>
    </w:p>
    <w:p>
      <w:r>
        <w:br w:type="page"/>
      </w:r>
    </w:p>
    <w:p>
      <w:pPr>
        <w:pStyle w:val="Heading1"/>
      </w:pPr>
      <w:r>
        <w:rPr>
          <w:rFonts w:ascii="Arial" w:cs="Arial" w:eastAsia="Arial" w:hAnsi="Arial"/>
        </w:rPr>
        <w:t xml:space="preserve">2. ISO 27001:2022 Clause Compliance Status</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The following table presents the compliance assessment across all mandatory clauses (4-10) of ISO/IEC 27001:2022 and the four Annex A control domains. Compliance percentages are based on internal audit results and evidence review conducted Q1 2026.</w:t>
      </w:r>
    </w:p>
    <w:p>
      <w:r>
        <w:rPr>
          <w:sz w:val="20"/>
          <w:szCs w:val="20"/>
        </w:rPr>
        <w:t xml:space="preserve"/>
      </w:r>
    </w:p>
    <w:p>
      <w:r>
        <w:rPr>
          <w:rFonts w:ascii="Arial" w:cs="Arial" w:eastAsia="Arial" w:hAnsi="Arial"/>
          <w:b/>
          <w:bCs/>
          <w:color w:val="1B3A6B"/>
          <w:sz w:val="22"/>
          <w:szCs w:val="22"/>
        </w:rPr>
        <w:t xml:space="preserve">2.1 Mandatory Clauses (Clauses 4-10)</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1100"/>
        <w:gridCol w:w="4760"/>
      </w:tblGrid>
      <w:tr>
        <w:tc>
          <w:tcPr>
            <w:tcW w:type="dxa" w:w="4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w:t>
            </w:r>
          </w:p>
        </w:tc>
        <w:tc>
          <w:tcPr>
            <w:tcW w:type="dxa" w:w="22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Clause / Requirement</w:t>
            </w:r>
          </w:p>
        </w:tc>
        <w:tc>
          <w:tcPr>
            <w:tcW w:type="dxa" w:w="9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Score</w:t>
            </w:r>
          </w:p>
        </w:tc>
        <w:tc>
          <w:tcPr>
            <w:tcW w:type="dxa" w:w="1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47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Observation / Finding</w:t>
            </w:r>
          </w:p>
        </w:tc>
      </w:tr>
      <w:tr>
        <w:tc>
          <w:tcPr>
            <w:tcW w:type="dxa" w:w="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4</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Context of the Organization</w:t>
            </w:r>
          </w:p>
        </w:tc>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47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Climate change integration in context analysis still in progress (OFI #1)</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5</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Leadership</w:t>
            </w:r>
          </w:p>
        </w:tc>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90%</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c>
          <w:tcPr>
            <w:tcW w:type="dxa" w:w="4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ISMS policy updated and signed by Top Management</w:t>
            </w:r>
          </w:p>
        </w:tc>
      </w:tr>
      <w:tr>
        <w:tc>
          <w:tcPr>
            <w:tcW w:type="dxa" w:w="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6</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Planning</w:t>
            </w:r>
          </w:p>
        </w:tc>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80%</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47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Risk assessment updated Q4 2025; climate change not yet integrated into risk criteria</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7</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Support</w:t>
            </w:r>
          </w:p>
        </w:tc>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88%</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4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Training program ongoing; 8% staff completion gap remains</w:t>
            </w:r>
          </w:p>
        </w:tc>
      </w:tr>
      <w:tr>
        <w:tc>
          <w:tcPr>
            <w:tcW w:type="dxa" w:w="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Operation</w:t>
            </w:r>
          </w:p>
        </w:tc>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87%</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47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Supply chain management controls in implementation; 3 OFIs open</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9</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Performance Evaluation</w:t>
            </w:r>
          </w:p>
        </w:tc>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4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Monitoring metrics defined; some KPIs not yet consistently measured</w:t>
            </w:r>
          </w:p>
        </w:tc>
      </w:tr>
      <w:tr>
        <w:tc>
          <w:tcPr>
            <w:tcW w:type="dxa" w:w="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10</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Improvement</w:t>
            </w:r>
          </w:p>
        </w:tc>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75%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At Risk</w:t>
            </w:r>
          </w:p>
        </w:tc>
        <w:tc>
          <w:tcPr>
            <w:tcW w:type="dxa" w:w="47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18 Surveillance 2 findings still open; corrective actions in progress</w:t>
            </w:r>
          </w:p>
        </w:tc>
      </w:tr>
    </w:tbl>
    <w:p>
      <w:r>
        <w:rPr>
          <w:sz w:val="40"/>
          <w:szCs w:val="40"/>
        </w:rPr>
        <w:t xml:space="preserve"/>
      </w:r>
    </w:p>
    <w:p>
      <w:r>
        <w:rPr>
          <w:rFonts w:ascii="Arial" w:cs="Arial" w:eastAsia="Arial" w:hAnsi="Arial"/>
          <w:b/>
          <w:bCs/>
          <w:color w:val="1B3A6B"/>
          <w:sz w:val="22"/>
          <w:szCs w:val="22"/>
        </w:rPr>
        <w:t xml:space="preserve">2.2 Annex A Control Domains (2022 Structure)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300"/>
        <w:gridCol w:w="1360"/>
        <w:gridCol w:w="1300"/>
        <w:gridCol w:w="2200"/>
      </w:tblGrid>
      <w:tr>
        <w:tc>
          <w:tcPr>
            <w:tcW w:type="dxa" w:w="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Annex</w:t>
            </w:r>
          </w:p>
        </w:tc>
        <w:tc>
          <w:tcPr>
            <w:tcW w:type="dxa" w:w="27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Control Domain</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Controls</w:t>
            </w:r>
          </w:p>
        </w:tc>
        <w:tc>
          <w:tcPr>
            <w:tcW w:type="dxa" w:w="13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Implemented</w:t>
            </w:r>
          </w:p>
        </w:tc>
        <w:tc>
          <w:tcPr>
            <w:tcW w:type="dxa" w:w="13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Compliance %</w:t>
            </w:r>
          </w:p>
        </w:tc>
        <w:tc>
          <w:tcPr>
            <w:tcW w:type="dxa" w:w="22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5</w:t>
            </w:r>
          </w:p>
        </w:tc>
        <w:tc>
          <w:tcPr>
            <w:tcW w:type="dxa" w:w="2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Organizational Controls</w:t>
            </w:r>
          </w:p>
        </w:tc>
        <w:tc>
          <w:tcPr>
            <w:tcW w:type="dxa" w:w="1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37 controls</w:t>
            </w:r>
          </w:p>
        </w:tc>
        <w:tc>
          <w:tcPr>
            <w:tcW w:type="dxa" w:w="1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34 controls</w:t>
            </w:r>
          </w:p>
        </w:tc>
        <w:tc>
          <w:tcPr>
            <w:tcW w:type="dxa" w:w="1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92%</w:t>
            </w:r>
          </w:p>
        </w:tc>
        <w:tc>
          <w:tcPr>
            <w:tcW w:type="dxa" w:w="22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r>
      <w:tr>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6</w:t>
            </w:r>
          </w:p>
        </w:tc>
        <w:tc>
          <w:tcPr>
            <w:tcW w:type="dxa" w:w="2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People Controls</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8 controls</w:t>
            </w:r>
          </w:p>
        </w:tc>
        <w:tc>
          <w:tcPr>
            <w:tcW w:type="dxa" w:w="1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7 controls</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88%</w:t>
            </w:r>
          </w:p>
        </w:tc>
        <w:tc>
          <w:tcPr>
            <w:tcW w:type="dxa" w:w="22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r>
      <w:tr>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7</w:t>
            </w:r>
          </w:p>
        </w:tc>
        <w:tc>
          <w:tcPr>
            <w:tcW w:type="dxa" w:w="2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Physical Controls</w:t>
            </w:r>
          </w:p>
        </w:tc>
        <w:tc>
          <w:tcPr>
            <w:tcW w:type="dxa" w:w="1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14 controls</w:t>
            </w:r>
          </w:p>
        </w:tc>
        <w:tc>
          <w:tcPr>
            <w:tcW w:type="dxa" w:w="1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13 controls</w:t>
            </w:r>
          </w:p>
        </w:tc>
        <w:tc>
          <w:tcPr>
            <w:tcW w:type="dxa" w:w="1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93%</w:t>
            </w:r>
          </w:p>
        </w:tc>
        <w:tc>
          <w:tcPr>
            <w:tcW w:type="dxa" w:w="22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r>
      <w:tr>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w:t>
            </w:r>
          </w:p>
        </w:tc>
        <w:tc>
          <w:tcPr>
            <w:tcW w:type="dxa" w:w="2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Technological Controls</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34 controls</w:t>
            </w:r>
          </w:p>
        </w:tc>
        <w:tc>
          <w:tcPr>
            <w:tcW w:type="dxa" w:w="1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30 controls</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88%</w:t>
            </w:r>
          </w:p>
        </w:tc>
        <w:tc>
          <w:tcPr>
            <w:tcW w:type="dxa" w:w="22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r>
      <w:tr>
        <w:tc>
          <w:tcPr>
            <w:tcW w:type="dxa" w:w="500"/>
            <w:tcBorders>
              <w:top w:val="single" w:color="BDD7EE" w:sz="4"/>
              <w:left w:val="single" w:color="BDD7EE" w:sz="4"/>
              <w:bottom w:val="single" w:color="BDD7EE" w:sz="4"/>
              <w:right w:val="single" w:color="BDD7E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c>
          <w:tcPr>
            <w:tcW w:type="dxa" w:w="2700"/>
            <w:tcBorders>
              <w:top w:val="single" w:color="BDD7EE" w:sz="4"/>
              <w:left w:val="single" w:color="BDD7EE" w:sz="4"/>
              <w:bottom w:val="single" w:color="BDD7EE" w:sz="4"/>
              <w:right w:val="single" w:color="BDD7EE" w:sz="4"/>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 Annex A Controls</w:t>
            </w:r>
          </w:p>
        </w:tc>
        <w:tc>
          <w:tcPr>
            <w:tcW w:type="dxa" w:w="1300"/>
            <w:tcBorders>
              <w:top w:val="single" w:color="BDD7EE" w:sz="4"/>
              <w:left w:val="single" w:color="BDD7EE" w:sz="4"/>
              <w:bottom w:val="single" w:color="BDD7EE" w:sz="4"/>
              <w:right w:val="single" w:color="BDD7E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93 controls</w:t>
            </w:r>
          </w:p>
        </w:tc>
        <w:tc>
          <w:tcPr>
            <w:tcW w:type="dxa" w:w="1360"/>
            <w:tcBorders>
              <w:top w:val="single" w:color="BDD7EE" w:sz="4"/>
              <w:left w:val="single" w:color="BDD7EE" w:sz="4"/>
              <w:bottom w:val="single" w:color="BDD7EE" w:sz="4"/>
              <w:right w:val="single" w:color="BDD7E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84 controls</w:t>
            </w:r>
          </w:p>
        </w:tc>
        <w:tc>
          <w:tcPr>
            <w:tcW w:type="dxa" w:w="1300"/>
            <w:tcBorders>
              <w:top w:val="single" w:color="BDD7EE" w:sz="4"/>
              <w:left w:val="single" w:color="BDD7EE" w:sz="4"/>
              <w:bottom w:val="single" w:color="BDD7EE" w:sz="4"/>
              <w:right w:val="single" w:color="BDD7E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90%</w:t>
            </w:r>
          </w:p>
        </w:tc>
        <w:tc>
          <w:tcPr>
            <w:tcW w:type="dxa" w:w="2200"/>
            <w:tcBorders>
              <w:top w:val="single" w:color="BDD7EE" w:sz="4"/>
              <w:left w:val="single" w:color="BDD7EE" w:sz="4"/>
              <w:bottom w:val="single" w:color="BDD7EE" w:sz="4"/>
              <w:right w:val="single" w:color="BDD7E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r>
    </w:tbl>
    <w:p>
      <w:r>
        <w:rPr>
          <w:sz w:val="40"/>
          <w:szCs w:val="40"/>
        </w:rPr>
        <w:t xml:space="preserve"/>
      </w:r>
    </w:p>
    <w:p>
      <w:r>
        <w:br w:type="page"/>
      </w:r>
    </w:p>
    <w:p>
      <w:pPr>
        <w:pStyle w:val="Heading1"/>
      </w:pPr>
      <w:r>
        <w:rPr>
          <w:rFonts w:ascii="Arial" w:cs="Arial" w:eastAsia="Arial" w:hAnsi="Arial"/>
        </w:rPr>
        <w:t xml:space="preserve">3. Security Incident Metrics</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The following section summarizes all security incidents recorded in the ISMS incident management system for the period January to March 2026. Incidents are classified according to PT Equity Life Indonesia's Information Security Incident Management Policy (POL-ISMS-IM-001).</w:t>
      </w:r>
    </w:p>
    <w:p>
      <w:r>
        <w:rPr>
          <w:sz w:val="20"/>
          <w:szCs w:val="20"/>
        </w:rPr>
        <w:t xml:space="preserve"/>
      </w:r>
    </w:p>
    <w:p>
      <w:r>
        <w:rPr>
          <w:rFonts w:ascii="Arial" w:cs="Arial" w:eastAsia="Arial" w:hAnsi="Arial"/>
          <w:b/>
          <w:bCs/>
          <w:color w:val="1B3A6B"/>
          <w:sz w:val="22"/>
          <w:szCs w:val="22"/>
        </w:rPr>
        <w:t xml:space="preserve">3.1 Incident Summary Statistics (Q1 2026)</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Value</w:t>
            </w:r>
          </w:p>
        </w:tc>
        <w:tc>
          <w:tcPr>
            <w:tcW w:type="dxa" w:w="48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3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Total Incidents (YTD)</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6</w:t>
            </w:r>
          </w:p>
        </w:tc>
        <w:tc>
          <w:tcPr>
            <w:tcW w:type="dxa" w:w="4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Critical Incidents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w:t>
            </w:r>
          </w:p>
        </w:tc>
        <w:tc>
          <w:tcPr>
            <w:tcW w:type="dxa" w:w="4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INC-2026-001 (Ransomware Attempt)</w:t>
            </w:r>
          </w:p>
        </w:tc>
      </w:tr>
      <w:tr>
        <w:tc>
          <w:tcPr>
            <w:tcW w:type="dxa" w:w="3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High Severity Incidents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2</w:t>
            </w:r>
          </w:p>
        </w:tc>
        <w:tc>
          <w:tcPr>
            <w:tcW w:type="dxa" w:w="4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INC-2026-002, INC-2026-006</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Medium Severity Incidents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2</w:t>
            </w:r>
          </w:p>
        </w:tc>
        <w:tc>
          <w:tcPr>
            <w:tcW w:type="dxa" w:w="4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INC-2026-003, INC-2026-004</w:t>
            </w:r>
          </w:p>
        </w:tc>
      </w:tr>
      <w:tr>
        <w:tc>
          <w:tcPr>
            <w:tcW w:type="dxa" w:w="3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Low Severity Incidents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w:t>
            </w:r>
          </w:p>
        </w:tc>
        <w:tc>
          <w:tcPr>
            <w:tcW w:type="dxa" w:w="4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INC-2026-005</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Incidents Closed</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5 (83%)</w:t>
            </w:r>
          </w:p>
        </w:tc>
        <w:tc>
          <w:tcPr>
            <w:tcW w:type="dxa" w:w="4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
            </w:r>
          </w:p>
        </w:tc>
      </w:tr>
      <w:tr>
        <w:tc>
          <w:tcPr>
            <w:tcW w:type="dxa" w:w="3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Incidents In Progress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 (17%)</w:t>
            </w:r>
          </w:p>
        </w:tc>
        <w:tc>
          <w:tcPr>
            <w:tcW w:type="dxa" w:w="4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INC-2026-006 - Insider Threat</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Avg. Resolution Time (Critical/High)</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4.2 hours</w:t>
            </w:r>
          </w:p>
        </w:tc>
        <w:tc>
          <w:tcPr>
            <w:tcW w:type="dxa" w:w="4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Target: &lt; 4 hours</w:t>
            </w:r>
          </w:p>
        </w:tc>
      </w:tr>
      <w:tr>
        <w:tc>
          <w:tcPr>
            <w:tcW w:type="dxa" w:w="3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Avg. Resolution Time (Medium)</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12.6 hours</w:t>
            </w:r>
          </w:p>
        </w:tc>
        <w:tc>
          <w:tcPr>
            <w:tcW w:type="dxa" w:w="4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Target: &lt; 24 hours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Avg. Resolution Time (Low)</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26.0 hours</w:t>
            </w:r>
          </w:p>
        </w:tc>
        <w:tc>
          <w:tcPr>
            <w:tcW w:type="dxa" w:w="4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Target: &lt; 72 hours</w:t>
            </w:r>
          </w:p>
        </w:tc>
      </w:tr>
    </w:tbl>
    <w:p>
      <w:r>
        <w:rPr>
          <w:sz w:val="40"/>
          <w:szCs w:val="40"/>
        </w:rPr>
        <w:t xml:space="preserve"/>
      </w:r>
    </w:p>
    <w:p>
      <w:r>
        <w:rPr>
          <w:rFonts w:ascii="Arial" w:cs="Arial" w:eastAsia="Arial" w:hAnsi="Arial"/>
          <w:b/>
          <w:bCs/>
          <w:color w:val="1B3A6B"/>
          <w:sz w:val="22"/>
          <w:szCs w:val="22"/>
        </w:rPr>
        <w:t xml:space="preserve">3.2 Incident Register (Q1 2026)</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2200"/>
        <w:gridCol w:w="1100"/>
        <w:gridCol w:w="3260"/>
      </w:tblGrid>
      <w:tr>
        <w:tc>
          <w:tcPr>
            <w:tcW w:type="dxa" w:w="12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Incident ID</w:t>
            </w:r>
          </w:p>
        </w:tc>
        <w:tc>
          <w:tcPr>
            <w:tcW w:type="dxa" w:w="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w:t>
            </w:r>
          </w:p>
        </w:tc>
        <w:tc>
          <w:tcPr>
            <w:tcW w:type="dxa" w:w="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c>
          <w:tcPr>
            <w:tcW w:type="dxa" w:w="22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Type / Description</w:t>
            </w:r>
          </w:p>
        </w:tc>
        <w:tc>
          <w:tcPr>
            <w:tcW w:type="dxa" w:w="1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Resolution Summary</w:t>
            </w:r>
          </w:p>
        </w:tc>
      </w:tr>
      <w:tr>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INC-2026-001</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7"/>
                <w:szCs w:val="17"/>
              </w:rPr>
              <w:t xml:space="preserve">Jan 2026</w:t>
            </w:r>
          </w:p>
        </w:tc>
        <w:tc>
          <w:tcPr>
            <w:tcW w:type="dxa" w:w="8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7"/>
                <w:szCs w:val="17"/>
              </w:rPr>
              <w:t xml:space="preserve">Critical</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Ransomware Attempt on Endpoint</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Closed</w:t>
            </w:r>
          </w:p>
        </w:tc>
        <w:tc>
          <w:tcPr>
            <w:tcW w:type="dxa" w:w="3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Endpoint isolated; full scan performed; no data exfiltration confirmed</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INC-2026-002</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7"/>
                <w:szCs w:val="17"/>
              </w:rPr>
              <w:t xml:space="preserve">Jan 2026</w:t>
            </w:r>
          </w:p>
        </w:tc>
        <w:tc>
          <w:tcPr>
            <w:tcW w:type="dxa" w:w="8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High</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Phishing Email Campaign</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Closed</w:t>
            </w:r>
          </w:p>
        </w:tc>
        <w:tc>
          <w:tcPr>
            <w:tcW w:type="dxa" w:w="3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12 emails blocked by mail gateway; 2 users clicked; password reset performed</w:t>
            </w:r>
          </w:p>
        </w:tc>
      </w:tr>
      <w:tr>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INC-2026-003</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7"/>
                <w:szCs w:val="17"/>
              </w:rPr>
              <w:t xml:space="preserve">Feb 2026</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7"/>
                <w:szCs w:val="17"/>
              </w:rPr>
              <w:t xml:space="preserve">Medium</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Unauthorized Access Attempt (VPN)</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Closed</w:t>
            </w:r>
          </w:p>
        </w:tc>
        <w:tc>
          <w:tcPr>
            <w:tcW w:type="dxa" w:w="3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Blocked by firewall; IP blacklisted; investigation completed</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INC-2026-004</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7"/>
                <w:szCs w:val="17"/>
              </w:rPr>
              <w:t xml:space="preserve">Feb 2026</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7"/>
                <w:szCs w:val="17"/>
              </w:rPr>
              <w:t xml:space="preserve">Medium</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Data Loss Prevention (DLP) Alert</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Closed</w:t>
            </w:r>
          </w:p>
        </w:tc>
        <w:tc>
          <w:tcPr>
            <w:tcW w:type="dxa" w:w="3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False positive confirmed after investigation; policy tuned</w:t>
            </w:r>
          </w:p>
        </w:tc>
      </w:tr>
      <w:tr>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INC-2026-005</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7"/>
                <w:szCs w:val="17"/>
              </w:rPr>
              <w:t xml:space="preserve">Mar 2026</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7"/>
                <w:szCs w:val="17"/>
              </w:rPr>
              <w:t xml:space="preserve">Low</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Misconfigured Cloud Storage Bucket</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Closed</w:t>
            </w:r>
          </w:p>
        </w:tc>
        <w:tc>
          <w:tcPr>
            <w:tcW w:type="dxa" w:w="3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Misconfiguration corrected within 4 hours; no external access confirmed</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INC-2026-006</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7"/>
                <w:szCs w:val="17"/>
              </w:rPr>
              <w:t xml:space="preserve">Mar 2026</w:t>
            </w:r>
          </w:p>
        </w:tc>
        <w:tc>
          <w:tcPr>
            <w:tcW w:type="dxa" w:w="8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High</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7"/>
                <w:szCs w:val="17"/>
              </w:rPr>
              <w:t xml:space="preserve">Insider Threat - Unauthorized File Export</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3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HR and Legal involved; forensic analysis ongoing</w:t>
            </w:r>
          </w:p>
        </w:tc>
      </w:tr>
    </w:tbl>
    <w:p>
      <w:r>
        <w:rPr>
          <w:sz w:val="40"/>
          <w:szCs w:val="40"/>
        </w:rPr>
        <w:t xml:space="preserve"/>
      </w:r>
    </w:p>
    <w:p>
      <w:r>
        <w:br w:type="page"/>
      </w:r>
    </w:p>
    <w:p>
      <w:pPr>
        <w:pStyle w:val="Heading1"/>
      </w:pPr>
      <w:r>
        <w:rPr>
          <w:rFonts w:ascii="Arial" w:cs="Arial" w:eastAsia="Arial" w:hAnsi="Arial"/>
        </w:rPr>
        <w:t xml:space="preserve">4. Risk Management Metrics</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Risk management metrics track the effectiveness of PT Equity Life Indonesia's risk identification, assessment, and treatment processes in accordance with ISO/IEC 27001:2022 Clause 6.1 and the Risk Management Policy (ISMS-POL-RM-001) and Risk Assessment Procedure (ISMS-SOP-RM-001).</w:t>
      </w:r>
    </w:p>
    <w:p>
      <w:r>
        <w:rPr>
          <w:sz w:val="20"/>
          <w:szCs w:val="20"/>
        </w:rPr>
        <w:t xml:space="preserve"/>
      </w:r>
    </w:p>
    <w:p>
      <w:r>
        <w:rPr>
          <w:rFonts w:ascii="Arial" w:cs="Arial" w:eastAsia="Arial" w:hAnsi="Arial"/>
          <w:b/>
          <w:bCs/>
          <w:color w:val="1B3A6B"/>
          <w:sz w:val="22"/>
          <w:szCs w:val="22"/>
        </w:rPr>
        <w:t xml:space="preserve">4.1 Risk Register Summary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Value</w:t>
            </w:r>
          </w:p>
        </w:tc>
        <w:tc>
          <w:tcPr>
            <w:tcW w:type="dxa" w:w="43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 / Reference</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Total Risks Identified</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47</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Active in Risk Register</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Critical Risks (Score &gt;= 20)</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4</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Require immediate treatment</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High Risks (Score 15-19)</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9</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Treatment plans in place</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Medium Risks (Score 8-14)</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22</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Monitored quarterly</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Low Risks (Score &lt; 8)</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12</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Accepted with controls</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Risks with Treatment Plans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37 (79%)</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Target: 100% of Critical &amp; High</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Risks Treatment Completed</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29 (62%)</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Target: &gt;= 85%</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Risks Accepted (Approved)</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8</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Signed off by Risk Owner</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New Risks Added (Q1 2026)</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3</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Insider threat, cloud misconfiguration, supply chain</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Risks Closed/Resolved</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2</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Previously identified risks resolved</w:t>
            </w:r>
          </w:p>
        </w:tc>
      </w:tr>
    </w:tbl>
    <w:p>
      <w:r>
        <w:rPr>
          <w:sz w:val="40"/>
          <w:szCs w:val="40"/>
        </w:rPr>
        <w:t xml:space="preserve"/>
      </w:r>
    </w:p>
    <w:p>
      <w:r>
        <w:rPr>
          <w:rFonts w:ascii="Arial" w:cs="Arial" w:eastAsia="Arial" w:hAnsi="Arial"/>
          <w:b/>
          <w:bCs/>
          <w:color w:val="1B3A6B"/>
          <w:sz w:val="22"/>
          <w:szCs w:val="22"/>
        </w:rPr>
        <w:t xml:space="preserve">4.2 Top Risks - Treatment Status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00"/>
        <w:gridCol w:w="500"/>
        <w:gridCol w:w="2000"/>
        <w:gridCol w:w="1160"/>
        <w:gridCol w:w="1000"/>
      </w:tblGrid>
      <w:tr>
        <w:tc>
          <w:tcPr>
            <w:tcW w:type="dxa" w:w="9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 ID</w:t>
            </w:r>
          </w:p>
        </w:tc>
        <w:tc>
          <w:tcPr>
            <w:tcW w:type="dxa" w:w="2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 Description</w:t>
            </w:r>
          </w:p>
        </w:tc>
        <w:tc>
          <w:tcPr>
            <w:tcW w:type="dxa" w:w="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w:t>
            </w:r>
          </w:p>
        </w:tc>
        <w:tc>
          <w:tcPr>
            <w:tcW w:type="dxa" w:w="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Score</w:t>
            </w:r>
          </w:p>
        </w:tc>
        <w:tc>
          <w:tcPr>
            <w:tcW w:type="dxa" w:w="2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Treatment Action</w:t>
            </w:r>
          </w:p>
        </w:tc>
        <w:tc>
          <w:tcPr>
            <w:tcW w:type="dxa" w:w="11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R-2025-004</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Ransomware / Malware Attack on Core Systems</w:t>
            </w:r>
          </w:p>
        </w:tc>
        <w:tc>
          <w:tcPr>
            <w:tcW w:type="dxa" w:w="8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Critical</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25</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Endpoint EDR, Backup isolation, IR plan</w:t>
            </w:r>
          </w:p>
        </w:tc>
        <w:tc>
          <w:tcPr>
            <w:tcW w:type="dxa" w:w="116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1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Q2 2026</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R-2025-011</w:t>
            </w:r>
          </w:p>
        </w:tc>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Insider Threat - Unauthorized Data Exfiltration</w:t>
            </w:r>
          </w:p>
        </w:tc>
        <w:tc>
          <w:tcPr>
            <w:tcW w:type="dxa" w:w="8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Critical</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20</w:t>
            </w:r>
          </w:p>
        </w:tc>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DLP implementation, access review, UEBA monitoring</w:t>
            </w:r>
          </w:p>
        </w:tc>
        <w:tc>
          <w:tcPr>
            <w:tcW w:type="dxa" w:w="116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Q3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R-2026-001</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Third-party / Supply Chain Security Breach</w:t>
            </w:r>
          </w:p>
        </w:tc>
        <w:tc>
          <w:tcPr>
            <w:tcW w:type="dxa" w:w="8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Critical</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20</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Vendor security assessment program (ISMS-SOP-SC-001)</w:t>
            </w:r>
          </w:p>
        </w:tc>
        <w:tc>
          <w:tcPr>
            <w:tcW w:type="dxa" w:w="116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1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Q3 2026</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R-2025-018</w:t>
            </w:r>
          </w:p>
        </w:tc>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Business Continuity Failure - Data Center Disruption</w:t>
            </w:r>
          </w:p>
        </w:tc>
        <w:tc>
          <w:tcPr>
            <w:tcW w:type="dxa" w:w="8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Critical</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20</w:t>
            </w:r>
          </w:p>
        </w:tc>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BCP/DRP tested; alternate site identified</w:t>
            </w:r>
          </w:p>
        </w:tc>
        <w:tc>
          <w:tcPr>
            <w:tcW w:type="dxa" w:w="116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Q2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R-2025-007</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Non-compliance with OJK Regulation SEOJK No. 29/2022</w:t>
            </w:r>
          </w:p>
        </w:tc>
        <w:tc>
          <w:tcPr>
            <w:tcW w:type="dxa" w:w="8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High</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16</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Regulatory compliance review, monthly reporting</w:t>
            </w:r>
          </w:p>
        </w:tc>
        <w:tc>
          <w:tcPr>
            <w:tcW w:type="dxa" w:w="116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On Track</w:t>
            </w:r>
          </w:p>
        </w:tc>
        <w:tc>
          <w:tcPr>
            <w:tcW w:type="dxa" w:w="1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Q1 2026</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R-2025-023</w:t>
            </w:r>
          </w:p>
        </w:tc>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Inadequate Identity &amp; Access Management</w:t>
            </w:r>
          </w:p>
        </w:tc>
        <w:tc>
          <w:tcPr>
            <w:tcW w:type="dxa" w:w="8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High</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15</w:t>
            </w:r>
          </w:p>
        </w:tc>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IAM solution deployment, quarterly access review</w:t>
            </w:r>
          </w:p>
        </w:tc>
        <w:tc>
          <w:tcPr>
            <w:tcW w:type="dxa" w:w="116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Q2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R-2026-002</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Cloud Security Misconfiguration (CSPM gap)</w:t>
            </w:r>
          </w:p>
        </w:tc>
        <w:tc>
          <w:tcPr>
            <w:tcW w:type="dxa" w:w="8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High</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15</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CSPM tooling, cloud security policy (POL-ISMS-CS-001)</w:t>
            </w:r>
          </w:p>
        </w:tc>
        <w:tc>
          <w:tcPr>
            <w:tcW w:type="dxa" w:w="116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1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Q2 2026</w:t>
            </w:r>
          </w:p>
        </w:tc>
      </w:tr>
    </w:tbl>
    <w:p>
      <w:r>
        <w:rPr>
          <w:sz w:val="40"/>
          <w:szCs w:val="40"/>
        </w:rPr>
        <w:t xml:space="preserve"/>
      </w:r>
    </w:p>
    <w:p>
      <w:r>
        <w:br w:type="page"/>
      </w:r>
    </w:p>
    <w:p>
      <w:pPr>
        <w:pStyle w:val="Heading1"/>
      </w:pPr>
      <w:r>
        <w:rPr>
          <w:rFonts w:ascii="Arial" w:cs="Arial" w:eastAsia="Arial" w:hAnsi="Arial"/>
        </w:rPr>
        <w:t xml:space="preserve">5. ISO 27001:2022 Audit Findings Status</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This section tracks the status of all 18 open findings identified during the ISO 27001:2022 Surveillance Audit 2 (27 May 2025). Closure of all findings is a prerequisite for successful Surveillance Audit 3. Sources referenced: Action_Plan_Detail_Menutup_18_Findings_ISO27001 and ISMS Document Checklist v20260316.</w:t>
      </w:r>
    </w:p>
    <w:p>
      <w:r>
        <w:rPr>
          <w:sz w:val="20"/>
          <w:szCs w:val="20"/>
        </w:rPr>
        <w:t xml:space="preserve"/>
      </w:r>
    </w:p>
    <w:p>
      <w:r>
        <w:rPr>
          <w:rFonts w:ascii="Arial" w:cs="Arial" w:eastAsia="Arial" w:hAnsi="Arial"/>
          <w:b/>
          <w:bCs/>
          <w:color w:val="1B3A6B"/>
          <w:sz w:val="22"/>
          <w:szCs w:val="22"/>
        </w:rPr>
        <w:t xml:space="preserve">5.1 Finding Statistics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Value</w:t>
            </w:r>
          </w:p>
        </w:tc>
        <w:tc>
          <w:tcPr>
            <w:tcW w:type="dxa" w:w="43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Remarks</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Total Findings (Surveillance 2 - May 2025)</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18</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All still require closure</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OFI (Opportunity for Improvement)</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16</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Non-conformance risk if not addressed</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Minor Nonconformities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2</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Must be closed before next surveillance</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Major Nonconformities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0</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No major findings - certification maintained</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Findings Closed</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0 (0%)</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Target: Close all before Surveillance 3</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Findings In Progress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18 (100%)</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Action plans all initiated</w:t>
            </w:r>
          </w:p>
        </w:tc>
      </w:tr>
      <w:tr>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Target Closure Date</w:t>
            </w:r>
          </w:p>
        </w:tc>
        <w:tc>
          <w:tcPr>
            <w:tcW w:type="dxa" w:w="1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8"/>
                <w:szCs w:val="18"/>
              </w:rPr>
              <w:t xml:space="preserve">Before Surveillance 3</w:t>
            </w:r>
          </w:p>
        </w:tc>
        <w:tc>
          <w:tcPr>
            <w:tcW w:type="dxa" w:w="4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7"/>
                <w:szCs w:val="17"/>
              </w:rPr>
              <w:t xml:space="preserve">Estimated: Q3-Q4 2026</w:t>
            </w:r>
          </w:p>
        </w:tc>
      </w:tr>
    </w:tbl>
    <w:p>
      <w:r>
        <w:rPr>
          <w:sz w:val="40"/>
          <w:szCs w:val="40"/>
        </w:rPr>
        <w:t xml:space="preserve"/>
      </w:r>
    </w:p>
    <w:p>
      <w:r>
        <w:rPr>
          <w:rFonts w:ascii="Arial" w:cs="Arial" w:eastAsia="Arial" w:hAnsi="Arial"/>
          <w:b/>
          <w:bCs/>
          <w:color w:val="1B3A6B"/>
          <w:sz w:val="22"/>
          <w:szCs w:val="22"/>
        </w:rPr>
        <w:t xml:space="preserve">5.2 Finding Register &amp; Closure Status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
        <w:gridCol w:w="600"/>
        <w:gridCol w:w="2200"/>
        <w:gridCol w:w="1100"/>
        <w:gridCol w:w="800"/>
        <w:gridCol w:w="1100"/>
        <w:gridCol w:w="2160"/>
      </w:tblGrid>
      <w:tr>
        <w:tc>
          <w:tcPr>
            <w:tcW w:type="dxa" w:w="9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 ID</w:t>
            </w:r>
          </w:p>
        </w:tc>
        <w:tc>
          <w:tcPr>
            <w:tcW w:type="dxa" w:w="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Clause</w:t>
            </w:r>
          </w:p>
        </w:tc>
        <w:tc>
          <w:tcPr>
            <w:tcW w:type="dxa" w:w="6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Type</w:t>
            </w:r>
          </w:p>
        </w:tc>
        <w:tc>
          <w:tcPr>
            <w:tcW w:type="dxa" w:w="22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 Description</w:t>
            </w:r>
          </w:p>
        </w:tc>
        <w:tc>
          <w:tcPr>
            <w:tcW w:type="dxa" w:w="1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w:t>
            </w:r>
          </w:p>
        </w:tc>
        <w:tc>
          <w:tcPr>
            <w:tcW w:type="dxa" w:w="1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21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Progress Update</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F-OFI-001</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4.1</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Climate Change integration in ISMS context analysis</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Management Rep</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Oct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Document update in progress; management review scheduled</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F-OFI-002</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4.2</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Interested parties analysis not fully documented</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Management Rep</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Nov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SWOT update underway</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F-OFI-003</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5.3</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ISMS roles not fully communicated to all staff</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HR / ISMS Owner</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Sep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Intranet publication pending</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F-OFI-004</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6.1</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Risk criteria not updated to reflect new business lines</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Risk Team</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Oct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Risk Assessment revision Q2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F-OFI-005</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6.1</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Climate change not integrated into risk criteria</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Risk Team</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Nov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Linked to F-OFI-001</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F-OFI-006</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7.4</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Communication plan for security awareness lacks metrics</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IT Security</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Sep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KPIs being defined</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F-OFI-007</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7.5</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Document version control gaps in some procedures</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Document Controller</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Oct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Document register updated</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F-OFI-008</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8.1</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Operational planning not aligned with updated risk results</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IT Operations</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Nov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Alignment review Q2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F-OFI-009</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8.3</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SDL checklist not applied to all new projects</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Development Team</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Oct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FRM-ISMS-SDL-001 rollout ongoing</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F-OFI-010</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8.4</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Supply chain security controls not fully documented</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Procurement</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Nov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SOP-SC-001/002 in implementation</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F-OFI-011</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9.1</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ISMS KPIs not consistently measured and reported</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ISMS Owner</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Sep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Metrics dashboard under development</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F-OFI-012</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9.2</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Internal audit scope did not cover all controls</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Internal Audit</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Oct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2026 audit plan addresses this</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F-OFI-013</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9.3</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Management review agenda insufficient for ISO 27001</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Top Management</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Oct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Template updated</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F-OFI-014</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10.1</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Continual improvement process not formally documented</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ISMS Owner</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Nov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Improvement log created</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F-OFI-015</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A.5.23</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Cloud service security policies not reviewed annually</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IT Security</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Sep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POL-ISMS-CS-001 review scheduled</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F-OFI-016</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A.5.29</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5"/>
                <w:szCs w:val="15"/>
              </w:rPr>
              <w:t xml:space="preserve">OFI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Information security during disruption not tested</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IT Operations</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Oct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BCP exercise planned Q2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F-MIN-001</w:t>
            </w:r>
          </w:p>
        </w:tc>
        <w:tc>
          <w:tcPr>
            <w:tcW w:type="dxa" w:w="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A.8.8</w:t>
            </w:r>
          </w:p>
        </w:tc>
        <w:tc>
          <w:tcPr>
            <w:tcW w:type="dxa" w:w="6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5"/>
                <w:szCs w:val="15"/>
              </w:rPr>
              <w:t xml:space="preserve">Minor</w:t>
            </w:r>
          </w:p>
        </w:tc>
        <w:tc>
          <w:tcPr>
            <w:tcW w:type="dxa" w:w="2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Vulnerability management process lacks formal SLA tracking</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IT Security</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Jul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SLA tracking tool integration ongoing</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5"/>
                <w:szCs w:val="15"/>
              </w:rPr>
              <w:t xml:space="preserve">F-MIN-002</w:t>
            </w:r>
          </w:p>
        </w:tc>
        <w:tc>
          <w:tcPr>
            <w:tcW w:type="dxa" w:w="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A.6.3</w:t>
            </w:r>
          </w:p>
        </w:tc>
        <w:tc>
          <w:tcPr>
            <w:tcW w:type="dxa" w:w="6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5"/>
                <w:szCs w:val="15"/>
              </w:rPr>
              <w:t xml:space="preserve">Minor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Security awareness training completion not tracked by dept</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HR / IT Security</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4"/>
                <w:szCs w:val="14"/>
              </w:rPr>
              <w:t xml:space="preserve">Aug 2025</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LMS reporting being configured</w:t>
            </w:r>
          </w:p>
        </w:tc>
      </w:tr>
    </w:tbl>
    <w:p>
      <w:r>
        <w:rPr>
          <w:sz w:val="40"/>
          <w:szCs w:val="40"/>
        </w:rPr>
        <w:t xml:space="preserve"/>
      </w:r>
    </w:p>
    <w:p>
      <w:r>
        <w:br w:type="page"/>
      </w:r>
    </w:p>
    <w:p>
      <w:pPr>
        <w:pStyle w:val="Heading1"/>
      </w:pPr>
      <w:r>
        <w:rPr>
          <w:rFonts w:ascii="Arial" w:cs="Arial" w:eastAsia="Arial" w:hAnsi="Arial"/>
        </w:rPr>
        <w:t xml:space="preserve">6. Security Controls Key Performance Indicators</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The following KPIs measure the operational effectiveness of Annex A security controls implemented within PT Equity Life Indonesia's ISMS, as evaluated against defined targets for 2026.</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100"/>
        <w:gridCol w:w="1100"/>
        <w:gridCol w:w="800"/>
        <w:gridCol w:w="1000"/>
        <w:gridCol w:w="2260"/>
      </w:tblGrid>
      <w:tr>
        <w:tc>
          <w:tcPr>
            <w:tcW w:type="dxa" w:w="14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Control Area</w:t>
            </w:r>
          </w:p>
        </w:tc>
        <w:tc>
          <w:tcPr>
            <w:tcW w:type="dxa" w:w="7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Annex A</w:t>
            </w:r>
          </w:p>
        </w:tc>
        <w:tc>
          <w:tcPr>
            <w:tcW w:type="dxa" w:w="2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KPI Description</w:t>
            </w:r>
          </w:p>
        </w:tc>
        <w:tc>
          <w:tcPr>
            <w:tcW w:type="dxa" w:w="1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w:t>
            </w:r>
          </w:p>
        </w:tc>
        <w:tc>
          <w:tcPr>
            <w:tcW w:type="dxa" w:w="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Result</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22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Remarks</w:t>
            </w:r>
          </w:p>
        </w:tc>
      </w:tr>
      <w:tr>
        <w:tc>
          <w:tcPr>
            <w:tcW w:type="dxa" w:w="1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Access Control</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A.5.15-5.18</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Quarterly access reviews completed</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4 reviews/year</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2/4</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On Track</w:t>
            </w:r>
          </w:p>
        </w:tc>
        <w:tc>
          <w:tcPr>
            <w:tcW w:type="dxa" w:w="2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Q1 &amp; Q2 done; Q3-Q4 scheduled</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Access Control</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A.5.15-5.18</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Privileged access accounts reviewed</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100% reviewed/quarter</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85%</w:t>
            </w:r>
          </w:p>
        </w:tc>
        <w:tc>
          <w:tcPr>
            <w:tcW w:type="dxa" w:w="10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At Risk</w:t>
            </w:r>
          </w:p>
        </w:tc>
        <w:tc>
          <w:tcPr>
            <w:tcW w:type="dxa" w:w="2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15% accounts pending review</w:t>
            </w:r>
          </w:p>
        </w:tc>
      </w:tr>
      <w:tr>
        <w:tc>
          <w:tcPr>
            <w:tcW w:type="dxa" w:w="1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Vulnerability Mgmt</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A.8.8</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Critical patches applied within SLA (7 days)</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&gt;= 95%</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96%</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c>
          <w:tcPr>
            <w:tcW w:type="dxa" w:w="2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4 patches applied; 0 overdue</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Vulnerability Mgmt</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A.8.8</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High patches applied within SLA (30 days)</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&gt;= 95%</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93%</w:t>
            </w:r>
          </w:p>
        </w:tc>
        <w:tc>
          <w:tcPr>
            <w:tcW w:type="dxa" w:w="10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2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2 patches slightly delayed</w:t>
            </w:r>
          </w:p>
        </w:tc>
      </w:tr>
      <w:tr>
        <w:tc>
          <w:tcPr>
            <w:tcW w:type="dxa" w:w="1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Security Awareness</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A.6.3</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Staff completing annual security training</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100%</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92%</w:t>
            </w:r>
          </w:p>
        </w:tc>
        <w:tc>
          <w:tcPr>
            <w:tcW w:type="dxa" w:w="10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2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8% pending; deadline Q2 2026</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Security Awareness</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A.6.3</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Phishing simulation pass rate</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&gt;= 90%</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88%</w:t>
            </w:r>
          </w:p>
        </w:tc>
        <w:tc>
          <w:tcPr>
            <w:tcW w:type="dxa" w:w="10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At Risk</w:t>
            </w:r>
          </w:p>
        </w:tc>
        <w:tc>
          <w:tcPr>
            <w:tcW w:type="dxa" w:w="2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12% click rate; additional training issued</w:t>
            </w:r>
          </w:p>
        </w:tc>
      </w:tr>
      <w:tr>
        <w:tc>
          <w:tcPr>
            <w:tcW w:type="dxa" w:w="1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Network Security</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A.8.20-8.22</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Firewall rule reviews completed</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Quarterly</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1/4 (Q1)</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On Track</w:t>
            </w:r>
          </w:p>
        </w:tc>
        <w:tc>
          <w:tcPr>
            <w:tcW w:type="dxa" w:w="2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Q1 review completed; Q2 scheduled</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Network Security</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A.8.20-8.22</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IDS/IPS alerts investigated within SLA</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&gt;= 95%</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97%</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c>
          <w:tcPr>
            <w:tcW w:type="dxa" w:w="2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All Q1 alerts processed on time</w:t>
            </w:r>
          </w:p>
        </w:tc>
      </w:tr>
      <w:tr>
        <w:tc>
          <w:tcPr>
            <w:tcW w:type="dxa" w:w="1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Data Protection</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A.5.33-5.34</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DLP policy violations resolved</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&lt; 5/month</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3/month avg</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c>
          <w:tcPr>
            <w:tcW w:type="dxa" w:w="2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Within acceptable threshold</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Data Protection</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A.5.33-5.34</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Backup success rate</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&gt;= 99%</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99.2%</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c>
          <w:tcPr>
            <w:tcW w:type="dxa" w:w="2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All critical systems backed up</w:t>
            </w:r>
          </w:p>
        </w:tc>
      </w:tr>
      <w:tr>
        <w:tc>
          <w:tcPr>
            <w:tcW w:type="dxa" w:w="1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Supplier Security</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A.5.19-5.22</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Supplier security assessments completed</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Annual for all critical</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60%</w:t>
            </w:r>
          </w:p>
        </w:tc>
        <w:tc>
          <w:tcPr>
            <w:tcW w:type="dxa" w:w="10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At Risk</w:t>
            </w:r>
          </w:p>
        </w:tc>
        <w:tc>
          <w:tcPr>
            <w:tcW w:type="dxa" w:w="2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6 of 10 critical vendors assessed</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Cryptography</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A.8.24</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Encryption compliance on sensitive data stores</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100%</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95%</w:t>
            </w:r>
          </w:p>
        </w:tc>
        <w:tc>
          <w:tcPr>
            <w:tcW w:type="dxa" w:w="10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2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2 legacy systems pending encryption</w:t>
            </w:r>
          </w:p>
        </w:tc>
      </w:tr>
      <w:tr>
        <w:tc>
          <w:tcPr>
            <w:tcW w:type="dxa" w:w="1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Physical Security</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A.7.1-7.4</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Physical access reviews completed</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Quarterly</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1/4 (Q1)</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On Track</w:t>
            </w:r>
          </w:p>
        </w:tc>
        <w:tc>
          <w:tcPr>
            <w:tcW w:type="dxa" w:w="2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Q1 review done</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Logging &amp; Monitoring</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A.8.15-8.16</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SIEM coverage across critical systems</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&gt;= 95%</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92%</w:t>
            </w:r>
          </w:p>
        </w:tc>
        <w:tc>
          <w:tcPr>
            <w:tcW w:type="dxa" w:w="10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2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3 systems not yet onboarded to SIEM</w:t>
            </w:r>
          </w:p>
        </w:tc>
      </w:tr>
      <w:tr>
        <w:tc>
          <w:tcPr>
            <w:tcW w:type="dxa" w:w="14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BCP/DR</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A.5.29-5.30</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BCP/DRP test completion</w:t>
            </w:r>
          </w:p>
        </w:tc>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1 Full Test/Year</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Completed</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c>
          <w:tcPr>
            <w:tcW w:type="dxa" w:w="22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Test completed Jan 2026; RTO/RPO met</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Incident Response</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A.5.25-5.27</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Security incidents resolved within SLA</w:t>
            </w:r>
          </w:p>
        </w:tc>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6"/>
                <w:szCs w:val="16"/>
              </w:rPr>
              <w:t xml:space="preserve">&gt;= 95%</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100%</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 Achieved</w:t>
            </w:r>
          </w:p>
        </w:tc>
        <w:tc>
          <w:tcPr>
            <w:tcW w:type="dxa" w:w="2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All Q1 incidents closed within SLA (critical: 4.2h avg)</w:t>
            </w:r>
          </w:p>
        </w:tc>
      </w:tr>
    </w:tbl>
    <w:p>
      <w:r>
        <w:rPr>
          <w:sz w:val="40"/>
          <w:szCs w:val="40"/>
        </w:rPr>
        <w:t xml:space="preserve"/>
      </w:r>
    </w:p>
    <w:p>
      <w:r>
        <w:br w:type="page"/>
      </w:r>
    </w:p>
    <w:p>
      <w:pPr>
        <w:pStyle w:val="Heading1"/>
      </w:pPr>
      <w:r>
        <w:rPr>
          <w:rFonts w:ascii="Arial" w:cs="Arial" w:eastAsia="Arial" w:hAnsi="Arial"/>
        </w:rPr>
        <w:t xml:space="preserve">7. Corrective Actions &amp; Improvement Plan 2026</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This section documents the prioritized corrective actions and improvement initiatives derived from audit findings, risk assessments, and incident reviews. Actions are tracked in accordance with ISO/IEC 27001:2022 Clause 10 (Improvement).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2300"/>
        <w:gridCol w:w="1200"/>
        <w:gridCol w:w="800"/>
        <w:gridCol w:w="900"/>
        <w:gridCol w:w="2460"/>
      </w:tblGrid>
      <w:tr>
        <w:tc>
          <w:tcPr>
            <w:tcW w:type="dxa" w:w="1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 ID</w:t>
            </w:r>
          </w:p>
        </w:tc>
        <w:tc>
          <w:tcPr>
            <w:tcW w:type="dxa" w:w="6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23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Corrective Action Description</w:t>
            </w:r>
          </w:p>
        </w:tc>
        <w:tc>
          <w:tcPr>
            <w:tcW w:type="dxa" w:w="12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w:t>
            </w:r>
          </w:p>
        </w:tc>
        <w:tc>
          <w:tcPr>
            <w:tcW w:type="dxa" w:w="9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24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Progress Notes</w:t>
            </w:r>
          </w:p>
        </w:tc>
      </w:tr>
      <w:tr>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CA-2026-001</w:t>
            </w:r>
          </w:p>
        </w:tc>
        <w:tc>
          <w:tcPr>
            <w:tcW w:type="dxa" w:w="6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High</w:t>
            </w:r>
          </w:p>
        </w:tc>
        <w:tc>
          <w:tcPr>
            <w:tcW w:type="dxa" w:w="2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Close all 18 ISO 27001:2022 Surveillance 2 Findings</w:t>
            </w:r>
          </w:p>
        </w:tc>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ISMS Owner + All Dept Heads</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Q3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18/18 action plans initiated; 0/18 closed</w:t>
            </w:r>
          </w:p>
        </w:tc>
      </w:tr>
      <w:tr>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CA-2026-002</w:t>
            </w:r>
          </w:p>
        </w:tc>
        <w:tc>
          <w:tcPr>
            <w:tcW w:type="dxa" w:w="6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High</w:t>
            </w:r>
          </w:p>
        </w:tc>
        <w:tc>
          <w:tcPr>
            <w:tcW w:type="dxa" w:w="2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Implement formal supply chain security assessment for all critical vendors</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Procurement / IT Security</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Q3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6/10 vendors assessed; SOP-SC-001 in use</w:t>
            </w:r>
          </w:p>
        </w:tc>
      </w:tr>
      <w:tr>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CA-2026-003</w:t>
            </w:r>
          </w:p>
        </w:tc>
        <w:tc>
          <w:tcPr>
            <w:tcW w:type="dxa" w:w="6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High</w:t>
            </w:r>
          </w:p>
        </w:tc>
        <w:tc>
          <w:tcPr>
            <w:tcW w:type="dxa" w:w="2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Deploy UEBA / insider threat monitoring solution</w:t>
            </w:r>
          </w:p>
        </w:tc>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IT Security</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Vendor shortlisting complete; PoC in Q2</w:t>
            </w:r>
          </w:p>
        </w:tc>
      </w:tr>
      <w:tr>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CA-2026-004</w:t>
            </w:r>
          </w:p>
        </w:tc>
        <w:tc>
          <w:tcPr>
            <w:tcW w:type="dxa" w:w="6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High</w:t>
            </w:r>
          </w:p>
        </w:tc>
        <w:tc>
          <w:tcPr>
            <w:tcW w:type="dxa" w:w="2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Complete security awareness training for remaining 8% staff</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HR / IT Security</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Scheduled training sessions booked</w:t>
            </w:r>
          </w:p>
        </w:tc>
      </w:tr>
      <w:tr>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CA-2026-005</w:t>
            </w:r>
          </w:p>
        </w:tc>
        <w:tc>
          <w:tcPr>
            <w:tcW w:type="dxa" w:w="6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Medium</w:t>
            </w:r>
          </w:p>
        </w:tc>
        <w:tc>
          <w:tcPr>
            <w:tcW w:type="dxa" w:w="2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Integrate climate change considerations into ISMS context analysis</w:t>
            </w:r>
          </w:p>
        </w:tc>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Management Rep</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ISO guidance reviewed; document revision ongoing</w:t>
            </w:r>
          </w:p>
        </w:tc>
      </w:tr>
      <w:tr>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CA-2026-006</w:t>
            </w:r>
          </w:p>
        </w:tc>
        <w:tc>
          <w:tcPr>
            <w:tcW w:type="dxa" w:w="6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Medium</w:t>
            </w:r>
          </w:p>
        </w:tc>
        <w:tc>
          <w:tcPr>
            <w:tcW w:type="dxa" w:w="2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Onboard 3 remaining critical systems to SIEM</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IT Operations</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2 systems in onboarding; 1 pending</w:t>
            </w:r>
          </w:p>
        </w:tc>
      </w:tr>
      <w:tr>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CA-2026-007</w:t>
            </w:r>
          </w:p>
        </w:tc>
        <w:tc>
          <w:tcPr>
            <w:tcW w:type="dxa" w:w="6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Medium</w:t>
            </w:r>
          </w:p>
        </w:tc>
        <w:tc>
          <w:tcPr>
            <w:tcW w:type="dxa" w:w="2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Encrypt 2 legacy systems with sensitive data</w:t>
            </w:r>
          </w:p>
        </w:tc>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IT Infrastructure</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Q3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Migration plan approved</w:t>
            </w:r>
          </w:p>
        </w:tc>
      </w:tr>
      <w:tr>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CA-2026-008</w:t>
            </w:r>
          </w:p>
        </w:tc>
        <w:tc>
          <w:tcPr>
            <w:tcW w:type="dxa" w:w="6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Medium</w:t>
            </w:r>
          </w:p>
        </w:tc>
        <w:tc>
          <w:tcPr>
            <w:tcW w:type="dxa" w:w="2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Define and implement ISMS metrics dashboard</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ISMS Owner / IT</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Dashboard design completed; data feeds being connected</w:t>
            </w:r>
          </w:p>
        </w:tc>
      </w:tr>
      <w:tr>
        <w:tc>
          <w:tcPr>
            <w:tcW w:type="dxa" w:w="1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CA-2026-009</w:t>
            </w:r>
          </w:p>
        </w:tc>
        <w:tc>
          <w:tcPr>
            <w:tcW w:type="dxa" w:w="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Low</w:t>
            </w:r>
          </w:p>
        </w:tc>
        <w:tc>
          <w:tcPr>
            <w:tcW w:type="dxa" w:w="23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Finalize SLA tracking for vulnerability management</w:t>
            </w:r>
          </w:p>
        </w:tc>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IT Security</w:t>
            </w:r>
          </w:p>
        </w:tc>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Tool integration 60% complete</w:t>
            </w:r>
          </w:p>
        </w:tc>
      </w:tr>
      <w:tr>
        <w:tc>
          <w:tcPr>
            <w:tcW w:type="dxa" w:w="1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CA-2026-010</w:t>
            </w:r>
          </w:p>
        </w:tc>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Low</w:t>
            </w:r>
          </w:p>
        </w:tc>
        <w:tc>
          <w:tcPr>
            <w:tcW w:type="dxa" w:w="2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Update communication plan with security awareness metrics</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IT Security / HR</w:t>
            </w:r>
          </w:p>
        </w:tc>
        <w:tc>
          <w:tcPr>
            <w:tcW w:type="dxa" w:w="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c>
          <w:tcPr>
            <w:tcW w:type="dxa" w:w="9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In Progress</w:t>
            </w:r>
          </w:p>
        </w:tc>
        <w:tc>
          <w:tcPr>
            <w:tcW w:type="dxa" w:w="24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4"/>
                <w:szCs w:val="14"/>
              </w:rPr>
              <w:t xml:space="preserve">KPI definitions drafted</w:t>
            </w:r>
          </w:p>
        </w:tc>
      </w:tr>
    </w:tbl>
    <w:p>
      <w:r>
        <w:rPr>
          <w:sz w:val="40"/>
          <w:szCs w:val="40"/>
        </w:rPr>
        <w:t xml:space="preserve"/>
      </w:r>
    </w:p>
    <w:p>
      <w:r>
        <w:br w:type="page"/>
      </w:r>
    </w:p>
    <w:p>
      <w:pPr>
        <w:pStyle w:val="Heading1"/>
      </w:pPr>
      <w:r>
        <w:rPr>
          <w:rFonts w:ascii="Arial" w:cs="Arial" w:eastAsia="Arial" w:hAnsi="Arial"/>
        </w:rPr>
        <w:t xml:space="preserve">8. Management Review Summary</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In accordance with ISO/IEC 27001:2022 Clause 9.3, PT Equity Life Indonesia conducted a Management Review meeting in January 2026 to evaluate the continuing suitability, adequacy, and effectiveness of the ISMS. The following summarizes key outputs and decisions.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Review Item</w:t>
            </w:r>
          </w:p>
        </w:tc>
        <w:tc>
          <w:tcPr>
            <w:tcW w:type="dxa" w:w="68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Summary / Decision</w:t>
            </w:r>
          </w:p>
        </w:tc>
      </w:tr>
      <w:tr>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Review Date</w:t>
            </w:r>
          </w:p>
        </w:tc>
        <w:tc>
          <w:tcPr>
            <w:tcW w:type="dxa" w:w="6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January 15, 2026</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Attendees</w:t>
            </w:r>
          </w:p>
        </w:tc>
        <w:tc>
          <w:tcPr>
            <w:tcW w:type="dxa" w:w="6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Director of IT &amp; Operations, Head of IT Security, ISMS Owner, Management Representative, Internal Audit Lead, Department Heads (IT, HR, Finance, Operations)</w:t>
            </w:r>
          </w:p>
        </w:tc>
      </w:tr>
      <w:tr>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Previous Action Status</w:t>
            </w:r>
          </w:p>
        </w:tc>
        <w:tc>
          <w:tcPr>
            <w:tcW w:type="dxa" w:w="6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2025 management review actions: 18 findings from Surveillance 2 still in progress. All action plans have been initiated. No actions have been fully closed yet.</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ISMS Performance</w:t>
            </w:r>
          </w:p>
        </w:tc>
        <w:tc>
          <w:tcPr>
            <w:tcW w:type="dxa" w:w="6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Overall ISMS compliance rated at 87%. KPIs for vulnerability management (96%) and incident response (100% SLA) are on target. Risk treatment completion at 78% is below the 85% target.</w:t>
            </w:r>
          </w:p>
        </w:tc>
      </w:tr>
      <w:tr>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Changes Affecting ISMS</w:t>
            </w:r>
          </w:p>
        </w:tc>
        <w:tc>
          <w:tcPr>
            <w:tcW w:type="dxa" w:w="6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New OJK regulations on digital insurance products require additional data protection controls. Climate change has been added as an external factor for context analysis. Three new cloud-based services were deployed in Q4 2025.</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Risk Posture</w:t>
            </w:r>
          </w:p>
        </w:tc>
        <w:tc>
          <w:tcPr>
            <w:tcW w:type="dxa" w:w="6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4 Critical risks remain open with treatment plans in place. Insider threat risk elevated following Q1 2026 incident (INC-2026-006). Supply chain risk elevated due to new vendor onboardings.</w:t>
            </w:r>
          </w:p>
        </w:tc>
      </w:tr>
      <w:tr>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Audit Findings</w:t>
            </w:r>
          </w:p>
        </w:tc>
        <w:tc>
          <w:tcPr>
            <w:tcW w:type="dxa" w:w="6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18 open findings from Surveillance Audit 2. Management committed to closing all findings before Surveillance Audit 3 (estimated Q3-Q4 2026). Monthly tracking meetings established.</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Resources Approved</w:t>
            </w:r>
          </w:p>
        </w:tc>
        <w:tc>
          <w:tcPr>
            <w:tcW w:type="dxa" w:w="6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Additional budget approved for: (1) UEBA/insider threat monitoring tool, (2) SIEM expansion for 3 additional systems, (3) external security consultant for supply chain assessment program.</w:t>
            </w:r>
          </w:p>
        </w:tc>
      </w:tr>
      <w:tr>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Key Decisions</w:t>
            </w:r>
          </w:p>
        </w:tc>
        <w:tc>
          <w:tcPr>
            <w:tcW w:type="dxa" w:w="6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(1) Mandatory security awareness training for all staff by Q2 2026. (2) Quarterly management briefing on ISMS metrics. (3) Formal climate change risk assessment to be completed by Q2 2026. (4) All Surveillance 2 findings to be evidenced and reported monthly to management.</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Next Review Date</w:t>
            </w:r>
          </w:p>
        </w:tc>
        <w:tc>
          <w:tcPr>
            <w:tcW w:type="dxa" w:w="6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July 2026 (Scheduled)</w:t>
            </w:r>
          </w:p>
        </w:tc>
      </w:tr>
    </w:tbl>
    <w:p>
      <w:r>
        <w:rPr>
          <w:sz w:val="40"/>
          <w:szCs w:val="40"/>
        </w:rPr>
        <w:t xml:space="preserve"/>
      </w:r>
    </w:p>
    <w:p>
      <w:r>
        <w:br w:type="page"/>
      </w:r>
    </w:p>
    <w:p>
      <w:pPr>
        <w:pStyle w:val="Heading1"/>
      </w:pPr>
      <w:r>
        <w:rPr>
          <w:rFonts w:ascii="Arial" w:cs="Arial" w:eastAsia="Arial" w:hAnsi="Arial"/>
        </w:rPr>
        <w:t xml:space="preserve">9. Regulatory &amp; Framework Compliance</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As an insurance company regulated by the Otoritas Jasa Keuangan (OJK), PT Equity Life Indonesia must maintain compliance with multiple regulatory frameworks in addition to ISO/IEC 27001:2022 certification requirements.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900"/>
        <w:gridCol w:w="1100"/>
        <w:gridCol w:w="2460"/>
      </w:tblGrid>
      <w:tr>
        <w:tc>
          <w:tcPr>
            <w:tcW w:type="dxa" w:w="1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Regulation / Framework</w:t>
            </w:r>
          </w:p>
        </w:tc>
        <w:tc>
          <w:tcPr>
            <w:tcW w:type="dxa" w:w="2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Scope / Description</w:t>
            </w:r>
          </w:p>
        </w:tc>
        <w:tc>
          <w:tcPr>
            <w:tcW w:type="dxa" w:w="19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Compliance Status</w:t>
            </w:r>
          </w:p>
        </w:tc>
        <w:tc>
          <w:tcPr>
            <w:tcW w:type="dxa" w:w="11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Assessment</w:t>
            </w:r>
          </w:p>
        </w:tc>
        <w:tc>
          <w:tcPr>
            <w:tcW w:type="dxa" w:w="24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 / Next Steps</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ISO/IEC 27001:2022</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ISMS Certification</w:t>
            </w:r>
          </w:p>
        </w:tc>
        <w:tc>
          <w:tcPr>
            <w:tcW w:type="dxa" w:w="1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Certified (Surveillance Audit 2 Passed)</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Compliant</w:t>
            </w:r>
          </w:p>
        </w:tc>
        <w:tc>
          <w:tcPr>
            <w:tcW w:type="dxa" w:w="24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18 open findings must be closed for Surveillance 3</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OJK SEOJK No. 29/2022</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IT Governance &amp; Risk for Financial Services</w:t>
            </w:r>
          </w:p>
        </w:tc>
        <w:tc>
          <w:tcPr>
            <w:tcW w:type="dxa" w:w="1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Compliant - Reported Q4 2025</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Compliant</w:t>
            </w:r>
          </w:p>
        </w:tc>
        <w:tc>
          <w:tcPr>
            <w:tcW w:type="dxa" w:w="24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Quarterly reporting to OJK maintained</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OJK POJK 11/2022</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Data Protection for Financial Institutions</w:t>
            </w:r>
          </w:p>
        </w:tc>
        <w:tc>
          <w:tcPr>
            <w:tcW w:type="dxa" w:w="1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Mostly Compliant</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24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Encryption gap on 2 legacy systems; remediation Q3 2026</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UU No. 27/2022</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Personal Data Protection Law (Indonesia)</w:t>
            </w:r>
          </w:p>
        </w:tc>
        <w:tc>
          <w:tcPr>
            <w:tcW w:type="dxa" w:w="1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Partial Compliance</w:t>
            </w:r>
          </w:p>
        </w:tc>
        <w:tc>
          <w:tcPr>
            <w:tcW w:type="dxa" w:w="11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7"/>
                <w:szCs w:val="17"/>
              </w:rPr>
              <w:t xml:space="preserve">⚠ Partial</w:t>
            </w:r>
          </w:p>
        </w:tc>
        <w:tc>
          <w:tcPr>
            <w:tcW w:type="dxa" w:w="24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Data classification framework and DPA appointments in progress</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NIST CSF v2.0</w:t>
            </w:r>
          </w:p>
        </w:tc>
        <w:tc>
          <w:tcPr>
            <w:tcW w:type="dxa" w:w="21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Cybersecurity Framework Reference</w:t>
            </w:r>
          </w:p>
        </w:tc>
        <w:tc>
          <w:tcPr>
            <w:tcW w:type="dxa" w:w="1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Aligned at Tier 3 (Repeatable)</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Compliant</w:t>
            </w:r>
          </w:p>
        </w:tc>
        <w:tc>
          <w:tcPr>
            <w:tcW w:type="dxa" w:w="24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Used as supplementary framework for control assessment</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OJK Circular SEOJK 8/2024</w:t>
            </w:r>
          </w:p>
        </w:tc>
        <w:tc>
          <w:tcPr>
            <w:tcW w:type="dxa" w:w="21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Cloud Computing in Financial Services</w:t>
            </w:r>
          </w:p>
        </w:tc>
        <w:tc>
          <w:tcPr>
            <w:tcW w:type="dxa" w:w="1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Compliant</w:t>
            </w:r>
          </w:p>
        </w:tc>
        <w:tc>
          <w:tcPr>
            <w:tcW w:type="dxa" w:w="11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7"/>
                <w:szCs w:val="17"/>
              </w:rPr>
              <w:t xml:space="preserve">Compliant</w:t>
            </w:r>
          </w:p>
        </w:tc>
        <w:tc>
          <w:tcPr>
            <w:tcW w:type="dxa" w:w="24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Cloud security policy (POL-ISMS-CS-001) and procedures in place</w:t>
            </w:r>
          </w:p>
        </w:tc>
      </w:tr>
    </w:tbl>
    <w:p>
      <w:r>
        <w:rPr>
          <w:sz w:val="40"/>
          <w:szCs w:val="40"/>
        </w:rPr>
        <w:t xml:space="preserve"/>
      </w:r>
    </w:p>
    <w:p>
      <w:r>
        <w:br w:type="page"/>
      </w:r>
    </w:p>
    <w:p>
      <w:pPr>
        <w:pStyle w:val="Heading1"/>
      </w:pPr>
      <w:r>
        <w:rPr>
          <w:rFonts w:ascii="Arial" w:cs="Arial" w:eastAsia="Arial" w:hAnsi="Arial"/>
        </w:rPr>
        <w:t xml:space="preserve">10. Recommendations &amp; Next Steps</w:t>
      </w:r>
    </w:p>
    <w:p>
      <w:r>
        <w:rPr>
          <w:sz w:val="20"/>
          <w:szCs w:val="20"/>
        </w:rPr>
        <w:t xml:space="preserve"/>
      </w:r>
    </w:p>
    <w:p>
      <w:pPr>
        <w:spacing w:after="60" w:before="60"/>
        <w:jc w:val="left"/>
      </w:pPr>
      <w:r>
        <w:rPr>
          <w:rFonts w:ascii="Arial" w:cs="Arial" w:eastAsia="Arial" w:hAnsi="Arial"/>
          <w:b w:val="false"/>
          <w:bCs w:val="false"/>
          <w:i w:val="false"/>
          <w:iCs w:val="false"/>
          <w:color w:val="1F2D3D"/>
          <w:sz w:val="20"/>
          <w:szCs w:val="20"/>
        </w:rPr>
        <w:t xml:space="preserve">Based on the metrics and findings documented in this report, the following recommendations are presented to management for consideration and action. Recommendations are prioritized by impact on ISO 27001:2022 certification continuity and regulatory compliance.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500"/>
        <w:gridCol w:w="1700"/>
        <w:gridCol w:w="1560"/>
      </w:tblGrid>
      <w:tr>
        <w:tc>
          <w:tcPr>
            <w:tcW w:type="dxa" w:w="9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Rec. ID</w:t>
            </w:r>
          </w:p>
        </w:tc>
        <w:tc>
          <w:tcPr>
            <w:tcW w:type="dxa" w:w="7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Recommendation</w:t>
            </w:r>
          </w:p>
        </w:tc>
        <w:tc>
          <w:tcPr>
            <w:tcW w:type="dxa" w:w="17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Responsible</w:t>
            </w:r>
          </w:p>
        </w:tc>
        <w:tc>
          <w:tcPr>
            <w:tcW w:type="dxa" w:w="15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Timeline</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REC-001</w:t>
            </w:r>
          </w:p>
        </w:tc>
        <w:tc>
          <w:tcPr>
            <w:tcW w:type="dxa" w:w="700"/>
            <w:tcBorders>
              <w:top w:val="single" w:color="BDD7EE" w:sz="4"/>
              <w:left w:val="single" w:color="BDD7EE" w:sz="4"/>
              <w:bottom w:val="single" w:color="BDD7EE" w:sz="4"/>
              <w:right w:val="single" w:color="BDD7EE" w:sz="4"/>
            </w:tcBorders>
            <w:shd w:fill="FFE0E0" w:val="clear"/>
            <w:tcMar>
              <w:top w:type="dxa" w:w="80"/>
              <w:left w:type="dxa" w:w="120"/>
              <w:bottom w:type="dxa" w:w="80"/>
              <w:right w:type="dxa" w:w="120"/>
            </w:tcMar>
            <w:vAlign w:val="center"/>
          </w:tcPr>
          <w:p>
            <w:pPr>
              <w:jc w:val="center"/>
            </w:pPr>
            <w:r>
              <w:rPr>
                <w:rFonts w:ascii="Arial" w:cs="Arial" w:eastAsia="Arial" w:hAnsi="Arial"/>
                <w:b/>
                <w:bCs/>
                <w:color w:val="9C0006"/>
                <w:sz w:val="16"/>
                <w:szCs w:val="16"/>
              </w:rPr>
              <w:t xml:space="preserve">Critical</w:t>
            </w:r>
          </w:p>
        </w:tc>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Immediately establish a dedicated task force to close all 18 Surveillance Audit 2 findings before Surveillance Audit 3. Implement monthly evidence submission checkpoints with monthly management review.</w:t>
            </w:r>
          </w:p>
        </w:tc>
        <w:tc>
          <w:tcPr>
            <w:tcW w:type="dxa" w:w="1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ISMS Owner / All HODs</w:t>
            </w:r>
          </w:p>
        </w:tc>
        <w:tc>
          <w:tcPr>
            <w:tcW w:type="dxa" w:w="1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Immediate</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REC-002</w:t>
            </w:r>
          </w:p>
        </w:tc>
        <w:tc>
          <w:tcPr>
            <w:tcW w:type="dxa" w:w="7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High</w:t>
            </w:r>
          </w:p>
        </w:tc>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Accelerate UEBA/insider threat monitoring deployment following INC-2026-006. Establish data loss prevention policies that cover both endpoint and cloud environments.</w:t>
            </w:r>
          </w:p>
        </w:tc>
        <w:tc>
          <w:tcPr>
            <w:tcW w:type="dxa" w:w="1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IT Security</w:t>
            </w:r>
          </w:p>
        </w:tc>
        <w:tc>
          <w:tcPr>
            <w:tcW w:type="dxa" w:w="1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REC-003</w:t>
            </w:r>
          </w:p>
        </w:tc>
        <w:tc>
          <w:tcPr>
            <w:tcW w:type="dxa" w:w="7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High</w:t>
            </w:r>
          </w:p>
        </w:tc>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Complete climate change integration into ISMS context analysis and risk criteria per ISO 27001:2022 Amendment 1 (2024). This directly addresses OFI-001 and OFI-005.</w:t>
            </w:r>
          </w:p>
        </w:tc>
        <w:tc>
          <w:tcPr>
            <w:tcW w:type="dxa" w:w="1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Management Rep / Risk Team</w:t>
            </w:r>
          </w:p>
        </w:tc>
        <w:tc>
          <w:tcPr>
            <w:tcW w:type="dxa" w:w="1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REC-004</w:t>
            </w:r>
          </w:p>
        </w:tc>
        <w:tc>
          <w:tcPr>
            <w:tcW w:type="dxa" w:w="700"/>
            <w:tcBorders>
              <w:top w:val="single" w:color="BDD7EE" w:sz="4"/>
              <w:left w:val="single" w:color="BDD7EE" w:sz="4"/>
              <w:bottom w:val="single" w:color="BDD7EE" w:sz="4"/>
              <w:right w:val="single" w:color="BDD7EE"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6"/>
                <w:szCs w:val="16"/>
              </w:rPr>
              <w:t xml:space="preserve">High</w:t>
            </w:r>
          </w:p>
        </w:tc>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Expand supply chain security program to cover all 10 critical vendors. Implement ISMS-SOP-SC-001 and ISMS-SOP-SC-002 for all new vendor onboardings from Q2 2026.</w:t>
            </w:r>
          </w:p>
        </w:tc>
        <w:tc>
          <w:tcPr>
            <w:tcW w:type="dxa" w:w="1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Procurement / IT Security</w:t>
            </w:r>
          </w:p>
        </w:tc>
        <w:tc>
          <w:tcPr>
            <w:tcW w:type="dxa" w:w="1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Q3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REC-005</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Medium</w:t>
            </w:r>
          </w:p>
        </w:tc>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Complete SIEM integration for 3 remaining critical systems. Establish 24/7 SOC monitoring coverage or contract MSSP for off-hours monitoring.</w:t>
            </w:r>
          </w:p>
        </w:tc>
        <w:tc>
          <w:tcPr>
            <w:tcW w:type="dxa" w:w="1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IT Operations / IT Security</w:t>
            </w:r>
          </w:p>
        </w:tc>
        <w:tc>
          <w:tcPr>
            <w:tcW w:type="dxa" w:w="1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REC-006</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Medium</w:t>
            </w:r>
          </w:p>
        </w:tc>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Deploy ISMS metrics dashboard to enable real-time KPI monitoring and automated reporting. This addresses OFI-011 and supports management visibility.</w:t>
            </w:r>
          </w:p>
        </w:tc>
        <w:tc>
          <w:tcPr>
            <w:tcW w:type="dxa" w:w="1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ISMS Owner / IT</w:t>
            </w:r>
          </w:p>
        </w:tc>
        <w:tc>
          <w:tcPr>
            <w:tcW w:type="dxa" w:w="1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REC-007</w:t>
            </w:r>
          </w:p>
        </w:tc>
        <w:tc>
          <w:tcPr>
            <w:tcW w:type="dxa" w:w="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Medium</w:t>
            </w:r>
          </w:p>
        </w:tc>
        <w:tc>
          <w:tcPr>
            <w:tcW w:type="dxa" w:w="3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Accelerate UU No. 27/2022 (PDP Law) compliance program including data classification, ROPA (Records of Processing Activities), and DPA appointment.</w:t>
            </w:r>
          </w:p>
        </w:tc>
        <w:tc>
          <w:tcPr>
            <w:tcW w:type="dxa" w:w="17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Legal / IT Security</w:t>
            </w:r>
          </w:p>
        </w:tc>
        <w:tc>
          <w:tcPr>
            <w:tcW w:type="dxa" w:w="1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Q3 2026</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6"/>
                <w:szCs w:val="16"/>
              </w:rPr>
              <w:t xml:space="preserve">REC-008</w:t>
            </w:r>
          </w:p>
        </w:tc>
        <w:tc>
          <w:tcPr>
            <w:tcW w:type="dxa" w:w="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2D3D"/>
                <w:sz w:val="16"/>
                <w:szCs w:val="16"/>
              </w:rPr>
              <w:t xml:space="preserve">Low</w:t>
            </w:r>
          </w:p>
        </w:tc>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6"/>
                <w:szCs w:val="16"/>
              </w:rPr>
              <w:t xml:space="preserve">Enhance phishing simulation program frequency from annual to quarterly to address 12% click rate. Provide targeted training for high-risk user groups.</w:t>
            </w:r>
          </w:p>
        </w:tc>
        <w:tc>
          <w:tcPr>
            <w:tcW w:type="dxa" w:w="17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5"/>
                <w:szCs w:val="15"/>
              </w:rPr>
              <w:t xml:space="preserve">IT Security / HR</w:t>
            </w:r>
          </w:p>
        </w:tc>
        <w:tc>
          <w:tcPr>
            <w:tcW w:type="dxa" w:w="1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5"/>
                <w:szCs w:val="15"/>
              </w:rPr>
              <w:t xml:space="preserve">Q2 2026</w:t>
            </w:r>
          </w:p>
        </w:tc>
      </w:tr>
    </w:tbl>
    <w:p>
      <w:r>
        <w:rPr>
          <w:sz w:val="40"/>
          <w:szCs w:val="40"/>
        </w:rPr>
        <w:t xml:space="preserve"/>
      </w:r>
    </w:p>
    <w:p>
      <w:r>
        <w:br w:type="page"/>
      </w:r>
    </w:p>
    <w:p>
      <w:pPr>
        <w:pStyle w:val="Heading1"/>
      </w:pPr>
      <w:r>
        <w:rPr>
          <w:rFonts w:ascii="Arial" w:cs="Arial" w:eastAsia="Arial" w:hAnsi="Arial"/>
        </w:rPr>
        <w:t xml:space="preserve">11. Document Control &amp; Approval</w:t>
      </w:r>
    </w:p>
    <w:p>
      <w:r>
        <w:rPr>
          <w:sz w:val="20"/>
          <w:szCs w:val="20"/>
        </w:rPr>
        <w:t xml:space="preserve"/>
      </w:r>
    </w:p>
    <w:p>
      <w:r>
        <w:rPr>
          <w:rFonts w:ascii="Arial" w:cs="Arial" w:eastAsia="Arial" w:hAnsi="Arial"/>
          <w:b/>
          <w:bCs/>
          <w:color w:val="1B3A6B"/>
          <w:sz w:val="22"/>
          <w:szCs w:val="22"/>
        </w:rPr>
        <w:t xml:space="preserve">11.1 Document Revision History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500"/>
        <w:gridCol w:w="2000"/>
        <w:gridCol w:w="2860"/>
      </w:tblGrid>
      <w:tr>
        <w:tc>
          <w:tcPr>
            <w:tcW w:type="dxa" w:w="8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Version</w:t>
            </w:r>
          </w:p>
        </w:tc>
        <w:tc>
          <w:tcPr>
            <w:tcW w:type="dxa" w:w="12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 of Change</w:t>
            </w:r>
          </w:p>
        </w:tc>
        <w:tc>
          <w:tcPr>
            <w:tcW w:type="dxa" w:w="2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Author</w:t>
            </w:r>
          </w:p>
        </w:tc>
        <w:tc>
          <w:tcPr>
            <w:tcW w:type="dxa" w:w="28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Approved By</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1.0</w:t>
            </w:r>
          </w:p>
        </w:tc>
        <w:tc>
          <w:tcPr>
            <w:tcW w:type="dxa" w:w="12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F2D3D"/>
                <w:sz w:val="18"/>
                <w:szCs w:val="18"/>
              </w:rPr>
              <w:t xml:space="preserve">March 16, 2026</w:t>
            </w:r>
          </w:p>
        </w:tc>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Initial issuance of 2026 Annual Security Metrics Report</w:t>
            </w:r>
          </w:p>
        </w:tc>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ISMS Team</w:t>
            </w:r>
          </w:p>
        </w:tc>
        <w:tc>
          <w:tcPr>
            <w:tcW w:type="dxa" w:w="28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Director of IT &amp; Operations</w:t>
            </w:r>
          </w:p>
        </w:tc>
      </w:tr>
    </w:tbl>
    <w:p>
      <w:r>
        <w:rPr>
          <w:sz w:val="40"/>
          <w:szCs w:val="40"/>
        </w:rPr>
        <w:t xml:space="preserve"/>
      </w:r>
    </w:p>
    <w:p>
      <w:r>
        <w:rPr>
          <w:rFonts w:ascii="Arial" w:cs="Arial" w:eastAsia="Arial" w:hAnsi="Arial"/>
          <w:b/>
          <w:bCs/>
          <w:color w:val="1B3A6B"/>
          <w:sz w:val="22"/>
          <w:szCs w:val="22"/>
        </w:rPr>
        <w:t xml:space="preserve">11.2 Approval Signatures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23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Name</w:t>
            </w:r>
          </w:p>
        </w:tc>
        <w:tc>
          <w:tcPr>
            <w:tcW w:type="dxa" w:w="2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Signature</w:t>
            </w:r>
          </w:p>
        </w:tc>
        <w:tc>
          <w:tcPr>
            <w:tcW w:type="dxa" w:w="2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ISMS Owner</w:t>
            </w:r>
          </w:p>
        </w:tc>
        <w:tc>
          <w:tcPr>
            <w:tcW w:type="dxa" w:w="2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r>
      <w:tr>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Head of IT Security</w:t>
            </w:r>
          </w:p>
        </w:tc>
        <w:tc>
          <w:tcPr>
            <w:tcW w:type="dxa" w:w="2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Management Representative</w:t>
            </w:r>
          </w:p>
        </w:tc>
        <w:tc>
          <w:tcPr>
            <w:tcW w:type="dxa" w:w="2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r>
      <w:tr>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Director of IT &amp; Operations</w:t>
            </w:r>
          </w:p>
        </w:tc>
        <w:tc>
          <w:tcPr>
            <w:tcW w:type="dxa" w:w="2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c>
          <w:tcPr>
            <w:tcW w:type="dxa" w:w="25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
            </w:r>
          </w:p>
        </w:tc>
      </w:tr>
    </w:tbl>
    <w:p>
      <w:r>
        <w:rPr>
          <w:sz w:val="40"/>
          <w:szCs w:val="40"/>
        </w:rPr>
        <w:t xml:space="preserve"/>
      </w:r>
    </w:p>
    <w:p>
      <w:r>
        <w:rPr>
          <w:rFonts w:ascii="Arial" w:cs="Arial" w:eastAsia="Arial" w:hAnsi="Arial"/>
          <w:b/>
          <w:bCs/>
          <w:color w:val="1B3A6B"/>
          <w:sz w:val="22"/>
          <w:szCs w:val="22"/>
        </w:rPr>
        <w:t xml:space="preserve">11.3 Distribution List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33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Distribution</w:t>
            </w:r>
          </w:p>
        </w:tc>
        <w:tc>
          <w:tcPr>
            <w:tcW w:type="dxa" w:w="40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r>
      <w:tr>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Top Management</w:t>
            </w:r>
          </w:p>
        </w:tc>
        <w:tc>
          <w:tcPr>
            <w:tcW w:type="dxa" w:w="3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Board of Directors, Directors</w:t>
            </w:r>
          </w:p>
        </w:tc>
        <w:tc>
          <w:tcPr>
            <w:tcW w:type="dxa" w:w="4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Strategic oversight and decision-making</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ISMS Owner</w:t>
            </w:r>
          </w:p>
        </w:tc>
        <w:tc>
          <w:tcPr>
            <w:tcW w:type="dxa" w:w="3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ISMS Team, IT Security</w:t>
            </w:r>
          </w:p>
        </w:tc>
        <w:tc>
          <w:tcPr>
            <w:tcW w:type="dxa" w:w="4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ISMS management and operational execution</w:t>
            </w:r>
          </w:p>
        </w:tc>
      </w:tr>
      <w:tr>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Internal Audit</w:t>
            </w:r>
          </w:p>
        </w:tc>
        <w:tc>
          <w:tcPr>
            <w:tcW w:type="dxa" w:w="3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Internal Audit Team</w:t>
            </w:r>
          </w:p>
        </w:tc>
        <w:tc>
          <w:tcPr>
            <w:tcW w:type="dxa" w:w="4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Audit planning and findings tracking</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Department Heads</w:t>
            </w:r>
          </w:p>
        </w:tc>
        <w:tc>
          <w:tcPr>
            <w:tcW w:type="dxa" w:w="3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All Department Heads</w:t>
            </w:r>
          </w:p>
        </w:tc>
        <w:tc>
          <w:tcPr>
            <w:tcW w:type="dxa" w:w="4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Awareness of ISMS obligations and assigned actions</w:t>
            </w:r>
          </w:p>
        </w:tc>
      </w:tr>
      <w:tr>
        <w:tc>
          <w:tcPr>
            <w:tcW w:type="dxa" w:w="2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bCs/>
                <w:color w:val="1F2D3D"/>
                <w:sz w:val="18"/>
                <w:szCs w:val="18"/>
              </w:rPr>
              <w:t xml:space="preserve">External Auditor</w:t>
            </w:r>
          </w:p>
        </w:tc>
        <w:tc>
          <w:tcPr>
            <w:tcW w:type="dxa" w:w="3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Certification Body (BSI/TUV/SGS/etc.)</w:t>
            </w:r>
          </w:p>
        </w:tc>
        <w:tc>
          <w:tcPr>
            <w:tcW w:type="dxa" w:w="4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F2D3D"/>
                <w:sz w:val="18"/>
                <w:szCs w:val="18"/>
              </w:rPr>
              <w:t xml:space="preserve">Audit evidence and compliance demonstration</w:t>
            </w:r>
          </w:p>
        </w:tc>
      </w:tr>
    </w:tbl>
    <w:p>
      <w:r>
        <w:rPr>
          <w:sz w:val="40"/>
          <w:szCs w:val="40"/>
        </w:rPr>
        <w:t xml:space="preserve"/>
      </w:r>
    </w:p>
    <w:p>
      <w:pPr>
        <w:pBdr>
          <w:top w:val="single" w:color="2E75B6" w:sz="6" w:space="4"/>
        </w:pBdr>
        <w:jc w:val="center"/>
      </w:pPr>
      <w:r>
        <w:rPr>
          <w:rFonts w:ascii="Arial" w:cs="Arial" w:eastAsia="Arial" w:hAnsi="Arial"/>
          <w:color w:val="2E75B6"/>
          <w:sz w:val="16"/>
          <w:szCs w:val="16"/>
        </w:rPr>
        <w:t xml:space="preserve">This document is classified as CONFIDENTIAL - INTERNAL USE ONLY | PT Equity Life Indonesia | ISMS-MET-2026-001 |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0080"/>
      </w:tabs>
    </w:pPr>
    <w:r>
      <w:rPr>
        <w:rFonts w:ascii="Arial" w:cs="Arial" w:eastAsia="Arial" w:hAnsi="Arial"/>
        <w:color w:val="2E75B6"/>
        <w:sz w:val="16"/>
        <w:szCs w:val="16"/>
      </w:rPr>
      <w:t xml:space="preserve">ISO/IEC 27001:2022 | Audit Year 2026</w:t>
    </w:r>
    <w:r>
      <w:rPr>
        <w:rFonts w:ascii="Arial" w:cs="Arial" w:eastAsia="Arial" w:hAnsi="Arial"/>
        <w:color w:val="1F2D3D"/>
        <w:sz w:val="16"/>
        <w:szCs w:val="16"/>
      </w:rPr>
      <w:t xml:space="preserve">	Page </w:t>
    </w:r>
    <w:r>
      <w:rPr>
        <w:rFonts w:ascii="Arial" w:cs="Arial" w:eastAsia="Arial" w:hAnsi="Arial"/>
        <w:color w:val="1F2D3D"/>
        <w:sz w:val="16"/>
        <w:szCs w:val="16"/>
      </w:rPr>
      <w:fldChar w:fldCharType="begin"/>
      <w:instrText xml:space="preserve">PAGE</w:instrText>
      <w:fldChar w:fldCharType="separate"/>
      <w:fldChar w:fldCharType="end"/>
    </w:r>
    <w:r>
      <w:rPr>
        <w:rFonts w:ascii="Arial" w:cs="Arial" w:eastAsia="Arial" w:hAnsi="Arial"/>
        <w:color w:val="1F2D3D"/>
        <w:sz w:val="16"/>
        <w:szCs w:val="16"/>
      </w:rPr>
      <w:t xml:space="preserve"> of </w:t>
    </w:r>
    <w:r>
      <w:rPr>
        <w:rFonts w:ascii="Arial" w:cs="Arial" w:eastAsia="Arial" w:hAnsi="Arial"/>
        <w:color w:val="1F2D3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10080"/>
      </w:tabs>
    </w:pPr>
    <w:r>
      <w:rPr>
        <w:rFonts w:ascii="Arial" w:cs="Arial" w:eastAsia="Arial" w:hAnsi="Arial"/>
        <w:b/>
        <w:bCs/>
        <w:color w:val="2E75B6"/>
        <w:sz w:val="16"/>
        <w:szCs w:val="16"/>
      </w:rPr>
      <w:t xml:space="preserve">PT Equity Life Indonesia | ISMS Security Metrics Report 2026</w:t>
    </w:r>
    <w:r>
      <w:rPr>
        <w:rFonts w:ascii="Arial" w:cs="Arial" w:eastAsia="Arial" w:hAnsi="Arial"/>
        <w:sz w:val="16"/>
        <w:szCs w:val="16"/>
      </w:rPr>
      <w:t xml:space="preserve">	</w:t>
    </w:r>
    <w:r>
      <w:rPr>
        <w:rFonts w:ascii="Arial" w:cs="Arial" w:eastAsia="Arial" w:hAnsi="Arial"/>
        <w:color w:val="9C0006"/>
        <w:sz w:val="16"/>
        <w:szCs w:val="16"/>
      </w:rPr>
      <w:t xml:space="preserve">ELI-ISMS-MET-2026-001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2026-03-16T12:57:02.792Z</dcterms:created>
  <dcterms:modified xsi:type="dcterms:W3CDTF">2026-03-16T12:57:02.793Z</dcterms:modified>
</cp:coreProperties>
</file>

<file path=docProps/custom.xml><?xml version="1.0" encoding="utf-8"?>
<Properties xmlns="http://schemas.openxmlformats.org/officeDocument/2006/custom-properties" xmlns:vt="http://schemas.openxmlformats.org/officeDocument/2006/docPropsVTypes"/>
</file>