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55"/>
      </w:tblGrid>
      <w:tr>
        <w:tc>
          <w:tcPr>
            <w:tcW w:type="dxa" w:w="9071"/>
            <w:shd w:val="clear" w:color="auto" w:fill="1F497D"/>
          </w:tcPr>
          <w:p>
            <w:pPr>
              <w:spacing w:before="400" w:after="400"/>
              <w:jc w:val="center"/>
            </w:pPr>
            <w:r>
              <w:rPr>
                <w:b/>
                <w:color w:val="FFFFFF"/>
                <w:sz w:val="36"/>
              </w:rPr>
              <w:t>PT EQUITY LIFE INDONESIA</w:t>
            </w:r>
          </w:p>
        </w:tc>
      </w:tr>
    </w:tbl>
    <w:p/>
    <w:p>
      <w:pPr>
        <w:jc w:val="center"/>
      </w:pPr>
      <w:r>
        <w:rPr>
          <w:b/>
          <w:color w:val="2E74B5"/>
          <w:sz w:val="32"/>
        </w:rPr>
        <w:t>ISO/IEC 27001:2022</w:t>
      </w:r>
    </w:p>
    <w:p/>
    <w:p>
      <w:pPr>
        <w:jc w:val="center"/>
      </w:pPr>
      <w:r>
        <w:rPr>
          <w:b/>
          <w:color w:val="1F497D"/>
          <w:sz w:val="44"/>
        </w:rPr>
        <w:t>Kebijakan Sistem Manajemen Keamanan Informasi</w:t>
      </w:r>
    </w:p>
    <w:p>
      <w:pPr>
        <w:jc w:val="center"/>
      </w:pPr>
      <w:r>
        <w:rPr>
          <w:color w:val="2E74B5"/>
          <w:sz w:val="28"/>
        </w:rPr>
        <w:t>Information Security Management System (ISMS) Policy</w:t>
      </w:r>
    </w:p>
    <w:p/>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DEEAF1"/>
          </w:tcPr>
          <w:p>
            <w:r>
              <w:rPr>
                <w:b/>
                <w:color w:val="1F497D"/>
                <w:sz w:val="20"/>
              </w:rPr>
              <w:t>Nomor Dokumen</w:t>
            </w:r>
          </w:p>
        </w:tc>
        <w:tc>
          <w:tcPr>
            <w:tcW w:type="dxa" w:w="4677"/>
          </w:tcPr>
          <w:p>
            <w:r>
              <w:rPr>
                <w:sz w:val="20"/>
              </w:rPr>
              <w:t>ISMS-POL-001</w:t>
            </w:r>
          </w:p>
        </w:tc>
      </w:tr>
      <w:tr>
        <w:tc>
          <w:tcPr>
            <w:tcW w:type="dxa" w:w="4677"/>
            <w:shd w:val="clear" w:color="auto" w:fill="DEEAF1"/>
          </w:tcPr>
          <w:p>
            <w:r>
              <w:rPr>
                <w:b/>
                <w:color w:val="1F497D"/>
                <w:sz w:val="20"/>
              </w:rPr>
              <w:t>Versi</w:t>
            </w:r>
          </w:p>
        </w:tc>
        <w:tc>
          <w:tcPr>
            <w:tcW w:type="dxa" w:w="4677"/>
          </w:tcPr>
          <w:p>
            <w:r>
              <w:rPr>
                <w:sz w:val="20"/>
              </w:rPr>
              <w:t>1.0</w:t>
            </w:r>
          </w:p>
        </w:tc>
      </w:tr>
      <w:tr>
        <w:tc>
          <w:tcPr>
            <w:tcW w:type="dxa" w:w="4677"/>
            <w:shd w:val="clear" w:color="auto" w:fill="DEEAF1"/>
          </w:tcPr>
          <w:p>
            <w:r>
              <w:rPr>
                <w:b/>
                <w:color w:val="1F497D"/>
                <w:sz w:val="20"/>
              </w:rPr>
              <w:t>Tanggal Efektif</w:t>
            </w:r>
          </w:p>
        </w:tc>
        <w:tc>
          <w:tcPr>
            <w:tcW w:type="dxa" w:w="4677"/>
          </w:tcPr>
          <w:p>
            <w:r>
              <w:rPr>
                <w:sz w:val="20"/>
              </w:rPr>
              <w:t>Februari 2026</w:t>
            </w:r>
          </w:p>
        </w:tc>
      </w:tr>
      <w:tr>
        <w:tc>
          <w:tcPr>
            <w:tcW w:type="dxa" w:w="4677"/>
            <w:shd w:val="clear" w:color="auto" w:fill="DEEAF1"/>
          </w:tcPr>
          <w:p>
            <w:r>
              <w:rPr>
                <w:b/>
                <w:color w:val="1F497D"/>
                <w:sz w:val="20"/>
              </w:rPr>
              <w:t>Klasifikasi</w:t>
            </w:r>
          </w:p>
        </w:tc>
        <w:tc>
          <w:tcPr>
            <w:tcW w:type="dxa" w:w="4677"/>
          </w:tcPr>
          <w:p>
            <w:r>
              <w:rPr>
                <w:sz w:val="20"/>
              </w:rPr>
              <w:t>INTERNAL - CONFIDENTIAL</w:t>
            </w:r>
          </w:p>
        </w:tc>
      </w:tr>
      <w:tr>
        <w:tc>
          <w:tcPr>
            <w:tcW w:type="dxa" w:w="4677"/>
            <w:shd w:val="clear" w:color="auto" w:fill="DEEAF1"/>
          </w:tcPr>
          <w:p>
            <w:r>
              <w:rPr>
                <w:b/>
                <w:color w:val="1F497D"/>
                <w:sz w:val="20"/>
              </w:rPr>
              <w:t>Departemen</w:t>
            </w:r>
          </w:p>
        </w:tc>
        <w:tc>
          <w:tcPr>
            <w:tcW w:type="dxa" w:w="4677"/>
          </w:tcPr>
          <w:p>
            <w:r>
              <w:rPr>
                <w:sz w:val="20"/>
              </w:rPr>
              <w:t>Information Technology &amp; Security</w:t>
            </w:r>
          </w:p>
        </w:tc>
      </w:tr>
    </w:tbl>
    <w:p/>
    <w:tbl>
      <w:tblPr>
        <w:tblW w:type="auto" w:w="0"/>
        <w:jc w:val="center"/>
        <w:tblLook w:firstColumn="1" w:firstRow="1" w:lastColumn="0" w:lastRow="0" w:noHBand="0" w:noVBand="1" w:val="04A0"/>
      </w:tblPr>
      <w:tblGrid>
        <w:gridCol w:w="9355"/>
      </w:tblGrid>
      <w:tr>
        <w:tc>
          <w:tcPr>
            <w:tcW w:type="dxa" w:w="9355"/>
            <w:shd w:val="clear" w:color="auto" w:fill="FFF2CC"/>
          </w:tcPr>
          <w:p>
            <w:pPr>
              <w:spacing w:before="160" w:after="160"/>
              <w:jc w:val="center"/>
            </w:pPr>
            <w:r>
              <w:rPr>
                <w:b/>
                <w:color w:val="7F6000"/>
                <w:sz w:val="20"/>
              </w:rPr>
              <w:t>⚠  DOKUMEN INI BERSIFAT RAHASIA - HANYA UNTUK PENGGUNAAN INTERNAL</w:t>
            </w:r>
          </w:p>
        </w:tc>
      </w:tr>
    </w:tbl>
    <w:p>
      <w:r>
        <w:br w:type="page"/>
      </w:r>
    </w:p>
    <w:p>
      <w:pPr>
        <w:spacing w:before="280" w:after="120"/>
        <w:pBdr>
          <w:bottom w:val="single" w:sz="6" w:color="1F497D"/>
        </w:pBdr>
      </w:pPr>
      <w:r>
        <w:rPr>
          <w:b/>
          <w:color w:val="1F497D"/>
          <w:sz w:val="28"/>
        </w:rPr>
        <w:t>DAFTAR ISI</w:t>
      </w:r>
    </w:p>
    <w:p>
      <w:pPr>
        <w:tabs>
          <w:tab w:pos="8220" w:val="left"/>
        </w:tabs>
        <w:spacing w:before="40" w:after="40"/>
      </w:pPr>
      <w:r>
        <w:rPr>
          <w:sz w:val="22"/>
        </w:rPr>
        <w:t>1.  Informasi Dokumen dan Pengendalian</w:t>
      </w:r>
      <w:r>
        <w:rPr>
          <w:sz w:val="22"/>
        </w:rPr>
        <w:tab/>
        <w:t>3</w:t>
      </w:r>
    </w:p>
    <w:p>
      <w:pPr>
        <w:tabs>
          <w:tab w:pos="8220" w:val="left"/>
        </w:tabs>
        <w:spacing w:before="40" w:after="40"/>
      </w:pPr>
      <w:r>
        <w:rPr>
          <w:sz w:val="22"/>
        </w:rPr>
        <w:t>2.  Pernyataan Komitmen Manajemen</w:t>
      </w:r>
      <w:r>
        <w:rPr>
          <w:sz w:val="22"/>
        </w:rPr>
        <w:tab/>
        <w:t>5</w:t>
      </w:r>
    </w:p>
    <w:p>
      <w:pPr>
        <w:tabs>
          <w:tab w:pos="8220" w:val="left"/>
        </w:tabs>
        <w:spacing w:before="40" w:after="40"/>
      </w:pPr>
      <w:r>
        <w:rPr>
          <w:sz w:val="22"/>
        </w:rPr>
        <w:t>3.  Tujuan dan Ruang Lingkup</w:t>
      </w:r>
      <w:r>
        <w:rPr>
          <w:sz w:val="22"/>
        </w:rPr>
        <w:tab/>
        <w:t>5</w:t>
      </w:r>
    </w:p>
    <w:p>
      <w:pPr>
        <w:tabs>
          <w:tab w:pos="8220" w:val="left"/>
        </w:tabs>
        <w:spacing w:before="40" w:after="40"/>
      </w:pPr>
      <w:r>
        <w:rPr>
          <w:sz w:val="22"/>
        </w:rPr>
        <w:t>4.  Definisi dan Istilah</w:t>
      </w:r>
      <w:r>
        <w:rPr>
          <w:sz w:val="22"/>
        </w:rPr>
        <w:tab/>
        <w:t>6</w:t>
      </w:r>
    </w:p>
    <w:p>
      <w:pPr>
        <w:tabs>
          <w:tab w:pos="8220" w:val="left"/>
        </w:tabs>
        <w:spacing w:before="40" w:after="40"/>
      </w:pPr>
      <w:r>
        <w:rPr>
          <w:sz w:val="22"/>
        </w:rPr>
        <w:t>5.  Referensi Normatif</w:t>
      </w:r>
      <w:r>
        <w:rPr>
          <w:sz w:val="22"/>
        </w:rPr>
        <w:tab/>
        <w:t>7</w:t>
      </w:r>
    </w:p>
    <w:p>
      <w:pPr>
        <w:tabs>
          <w:tab w:pos="8220" w:val="left"/>
        </w:tabs>
        <w:spacing w:before="40" w:after="40"/>
      </w:pPr>
      <w:r>
        <w:rPr>
          <w:sz w:val="22"/>
        </w:rPr>
        <w:t>6.  Kebijakan Keamanan Informasi</w:t>
      </w:r>
      <w:r>
        <w:rPr>
          <w:sz w:val="22"/>
        </w:rPr>
        <w:tab/>
        <w:t>7</w:t>
      </w:r>
    </w:p>
    <w:p>
      <w:pPr>
        <w:tabs>
          <w:tab w:pos="8220" w:val="left"/>
        </w:tabs>
        <w:spacing w:before="40" w:after="40"/>
      </w:pPr>
      <w:r>
        <w:rPr>
          <w:sz w:val="22"/>
        </w:rPr>
        <w:t>7.  Peran dan Tanggung Jawab</w:t>
      </w:r>
      <w:r>
        <w:rPr>
          <w:sz w:val="22"/>
        </w:rPr>
        <w:tab/>
        <w:t>10</w:t>
      </w:r>
    </w:p>
    <w:p>
      <w:pPr>
        <w:tabs>
          <w:tab w:pos="8220" w:val="left"/>
        </w:tabs>
        <w:spacing w:before="40" w:after="40"/>
      </w:pPr>
      <w:r>
        <w:rPr>
          <w:sz w:val="22"/>
        </w:rPr>
        <w:t>8.  Pengelolaan Risiko Keamanan Informasi</w:t>
      </w:r>
      <w:r>
        <w:rPr>
          <w:sz w:val="22"/>
        </w:rPr>
        <w:tab/>
        <w:t>12</w:t>
      </w:r>
    </w:p>
    <w:p>
      <w:pPr>
        <w:tabs>
          <w:tab w:pos="8220" w:val="left"/>
        </w:tabs>
        <w:spacing w:before="40" w:after="40"/>
      </w:pPr>
      <w:r>
        <w:rPr>
          <w:sz w:val="22"/>
        </w:rPr>
        <w:t>9.  Kepatuhan dan Audit</w:t>
      </w:r>
      <w:r>
        <w:rPr>
          <w:sz w:val="22"/>
        </w:rPr>
        <w:tab/>
        <w:t>13</w:t>
      </w:r>
    </w:p>
    <w:p>
      <w:pPr>
        <w:tabs>
          <w:tab w:pos="8220" w:val="left"/>
        </w:tabs>
        <w:spacing w:before="40" w:after="40"/>
      </w:pPr>
      <w:r>
        <w:rPr>
          <w:sz w:val="22"/>
        </w:rPr>
        <w:t>10.  Pelatihan dan Kesadaran</w:t>
      </w:r>
      <w:r>
        <w:rPr>
          <w:sz w:val="22"/>
        </w:rPr>
        <w:tab/>
        <w:t>14</w:t>
      </w:r>
    </w:p>
    <w:p>
      <w:pPr>
        <w:tabs>
          <w:tab w:pos="8220" w:val="left"/>
        </w:tabs>
        <w:spacing w:before="40" w:after="40"/>
      </w:pPr>
      <w:r>
        <w:rPr>
          <w:sz w:val="22"/>
        </w:rPr>
        <w:t>11.  Penanganan Insiden Keamanan Informasi</w:t>
      </w:r>
      <w:r>
        <w:rPr>
          <w:sz w:val="22"/>
        </w:rPr>
        <w:tab/>
        <w:t>14</w:t>
      </w:r>
    </w:p>
    <w:p>
      <w:pPr>
        <w:tabs>
          <w:tab w:pos="8220" w:val="left"/>
        </w:tabs>
        <w:spacing w:before="40" w:after="40"/>
      </w:pPr>
      <w:r>
        <w:rPr>
          <w:sz w:val="22"/>
        </w:rPr>
        <w:t>12.  Keberlanjutan Bisnis</w:t>
      </w:r>
      <w:r>
        <w:rPr>
          <w:sz w:val="22"/>
        </w:rPr>
        <w:tab/>
        <w:t>15</w:t>
      </w:r>
    </w:p>
    <w:p>
      <w:pPr>
        <w:tabs>
          <w:tab w:pos="8220" w:val="left"/>
        </w:tabs>
        <w:spacing w:before="40" w:after="40"/>
      </w:pPr>
      <w:r>
        <w:rPr>
          <w:sz w:val="22"/>
        </w:rPr>
        <w:t>13.  Tinjauan dan Pembaruan Kebijakan</w:t>
      </w:r>
      <w:r>
        <w:rPr>
          <w:sz w:val="22"/>
        </w:rPr>
        <w:tab/>
        <w:t>15</w:t>
      </w:r>
    </w:p>
    <w:p>
      <w:pPr>
        <w:tabs>
          <w:tab w:pos="8220" w:val="left"/>
        </w:tabs>
        <w:spacing w:before="40" w:after="40"/>
      </w:pPr>
      <w:r>
        <w:rPr>
          <w:sz w:val="22"/>
        </w:rPr>
        <w:t>14.  Sanksi dan Penegakan</w:t>
      </w:r>
      <w:r>
        <w:rPr>
          <w:sz w:val="22"/>
        </w:rPr>
        <w:tab/>
        <w:t>15</w:t>
      </w:r>
    </w:p>
    <w:p>
      <w:r>
        <w:br w:type="page"/>
      </w:r>
    </w:p>
    <w:p>
      <w:pPr>
        <w:spacing w:before="280" w:after="120"/>
        <w:pBdr>
          <w:bottom w:val="single" w:sz="6" w:color="1F497D"/>
        </w:pBdr>
      </w:pPr>
      <w:r>
        <w:rPr>
          <w:b/>
          <w:color w:val="1F497D"/>
          <w:sz w:val="28"/>
        </w:rPr>
        <w:t>1. INFORMASI DOKUMEN DAN PENGENDALIAN</w:t>
      </w:r>
    </w:p>
    <w:p>
      <w:pPr>
        <w:spacing w:before="200" w:after="120"/>
      </w:pPr>
      <w:r>
        <w:rPr>
          <w:b/>
          <w:color w:val="2E74B5"/>
          <w:sz w:val="24"/>
        </w:rPr>
        <w:t>1.1 Riwayat Revisi</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val="clear" w:color="auto" w:fill="1F497D"/>
          </w:tcPr>
          <w:p>
            <w:r>
              <w:rPr>
                <w:b/>
                <w:color w:val="FFFFFF"/>
                <w:sz w:val="20"/>
              </w:rPr>
              <w:t>Versi</w:t>
            </w:r>
          </w:p>
        </w:tc>
        <w:tc>
          <w:tcPr>
            <w:tcW w:type="dxa" w:w="1871"/>
            <w:shd w:val="clear" w:color="auto" w:fill="1F497D"/>
          </w:tcPr>
          <w:p>
            <w:r>
              <w:rPr>
                <w:b/>
                <w:color w:val="FFFFFF"/>
                <w:sz w:val="20"/>
              </w:rPr>
              <w:t>Tanggal</w:t>
            </w:r>
          </w:p>
        </w:tc>
        <w:tc>
          <w:tcPr>
            <w:tcW w:type="dxa" w:w="1871"/>
            <w:shd w:val="clear" w:color="auto" w:fill="1F497D"/>
          </w:tcPr>
          <w:p>
            <w:r>
              <w:rPr>
                <w:b/>
                <w:color w:val="FFFFFF"/>
                <w:sz w:val="20"/>
              </w:rPr>
              <w:t>Penulis</w:t>
            </w:r>
          </w:p>
        </w:tc>
        <w:tc>
          <w:tcPr>
            <w:tcW w:type="dxa" w:w="1871"/>
            <w:shd w:val="clear" w:color="auto" w:fill="1F497D"/>
          </w:tcPr>
          <w:p>
            <w:r>
              <w:rPr>
                <w:b/>
                <w:color w:val="FFFFFF"/>
                <w:sz w:val="20"/>
              </w:rPr>
              <w:t>Reviewer</w:t>
            </w:r>
          </w:p>
        </w:tc>
        <w:tc>
          <w:tcPr>
            <w:tcW w:type="dxa" w:w="1871"/>
            <w:shd w:val="clear" w:color="auto" w:fill="1F497D"/>
          </w:tcPr>
          <w:p>
            <w:r>
              <w:rPr>
                <w:b/>
                <w:color w:val="FFFFFF"/>
                <w:sz w:val="20"/>
              </w:rPr>
              <w:t>Keterangan</w:t>
            </w:r>
          </w:p>
        </w:tc>
      </w:tr>
      <w:tr>
        <w:tc>
          <w:tcPr>
            <w:tcW w:type="dxa" w:w="1871"/>
            <w:shd w:val="clear" w:color="auto" w:fill="DEEAF1"/>
          </w:tcPr>
          <w:p>
            <w:r>
              <w:rPr>
                <w:sz w:val="20"/>
              </w:rPr>
              <w:t>1.0</w:t>
            </w:r>
          </w:p>
        </w:tc>
        <w:tc>
          <w:tcPr>
            <w:tcW w:type="dxa" w:w="1871"/>
            <w:shd w:val="clear" w:color="auto" w:fill="DEEAF1"/>
          </w:tcPr>
          <w:p>
            <w:r>
              <w:rPr>
                <w:sz w:val="20"/>
              </w:rPr>
              <w:t>Februari 2026</w:t>
            </w:r>
          </w:p>
        </w:tc>
        <w:tc>
          <w:tcPr>
            <w:tcW w:type="dxa" w:w="1871"/>
            <w:shd w:val="clear" w:color="auto" w:fill="DEEAF1"/>
          </w:tcPr>
          <w:p>
            <w:r>
              <w:rPr>
                <w:sz w:val="20"/>
              </w:rPr>
              <w:t>Tim IT Security</w:t>
            </w:r>
          </w:p>
        </w:tc>
        <w:tc>
          <w:tcPr>
            <w:tcW w:type="dxa" w:w="1871"/>
            <w:shd w:val="clear" w:color="auto" w:fill="DEEAF1"/>
          </w:tcPr>
          <w:p>
            <w:r>
              <w:rPr>
                <w:sz w:val="20"/>
              </w:rPr>
              <w:t>CISO</w:t>
            </w:r>
          </w:p>
        </w:tc>
        <w:tc>
          <w:tcPr>
            <w:tcW w:type="dxa" w:w="1871"/>
            <w:shd w:val="clear" w:color="auto" w:fill="DEEAF1"/>
          </w:tcPr>
          <w:p>
            <w:r>
              <w:rPr>
                <w:sz w:val="20"/>
              </w:rPr>
              <w:t>Penerbitan Pertama</w:t>
            </w:r>
          </w:p>
        </w:tc>
      </w:tr>
      <w:tr>
        <w:tc>
          <w:tcPr>
            <w:tcW w:type="dxa" w:w="1871"/>
          </w:tcPr>
          <w:p>
            <w:r>
              <w:rPr>
                <w:sz w:val="20"/>
              </w:rPr>
            </w:r>
          </w:p>
        </w:tc>
        <w:tc>
          <w:tcPr>
            <w:tcW w:type="dxa" w:w="1871"/>
          </w:tcPr>
          <w:p>
            <w:r>
              <w:rPr>
                <w:sz w:val="20"/>
              </w:rPr>
            </w:r>
          </w:p>
        </w:tc>
        <w:tc>
          <w:tcPr>
            <w:tcW w:type="dxa" w:w="1871"/>
          </w:tcPr>
          <w:p>
            <w:r>
              <w:rPr>
                <w:sz w:val="20"/>
              </w:rPr>
            </w:r>
          </w:p>
        </w:tc>
        <w:tc>
          <w:tcPr>
            <w:tcW w:type="dxa" w:w="1871"/>
          </w:tcPr>
          <w:p>
            <w:r>
              <w:rPr>
                <w:sz w:val="20"/>
              </w:rPr>
            </w:r>
          </w:p>
        </w:tc>
        <w:tc>
          <w:tcPr>
            <w:tcW w:type="dxa" w:w="1871"/>
          </w:tcPr>
          <w:p>
            <w:r>
              <w:rPr>
                <w:sz w:val="20"/>
              </w:rPr>
            </w:r>
          </w:p>
        </w:tc>
      </w:tr>
    </w:tbl>
    <w:p/>
    <w:p>
      <w:pPr>
        <w:spacing w:before="200" w:after="120"/>
      </w:pPr>
      <w:r>
        <w:rPr>
          <w:b/>
          <w:color w:val="2E74B5"/>
          <w:sz w:val="24"/>
        </w:rPr>
        <w:t>1.2 Distribusi Dokumen</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20"/>
              </w:rPr>
              <w:t>Jabatan / Departemen</w:t>
            </w:r>
          </w:p>
        </w:tc>
        <w:tc>
          <w:tcPr>
            <w:tcW w:type="dxa" w:w="3118"/>
            <w:shd w:val="clear" w:color="auto" w:fill="1F497D"/>
          </w:tcPr>
          <w:p>
            <w:r>
              <w:rPr>
                <w:b/>
                <w:color w:val="FFFFFF"/>
                <w:sz w:val="20"/>
              </w:rPr>
              <w:t>Salinan No.</w:t>
            </w:r>
          </w:p>
        </w:tc>
        <w:tc>
          <w:tcPr>
            <w:tcW w:type="dxa" w:w="3118"/>
            <w:shd w:val="clear" w:color="auto" w:fill="1F497D"/>
          </w:tcPr>
          <w:p>
            <w:r>
              <w:rPr>
                <w:b/>
                <w:color w:val="FFFFFF"/>
                <w:sz w:val="20"/>
              </w:rPr>
              <w:t>Tanggal Distribusi</w:t>
            </w:r>
          </w:p>
        </w:tc>
      </w:tr>
      <w:tr>
        <w:tc>
          <w:tcPr>
            <w:tcW w:type="dxa" w:w="3118"/>
            <w:shd w:val="clear" w:color="auto" w:fill="DEEAF1"/>
          </w:tcPr>
          <w:p>
            <w:r>
              <w:rPr>
                <w:sz w:val="20"/>
              </w:rPr>
              <w:t>Direktur Utama</w:t>
            </w:r>
          </w:p>
        </w:tc>
        <w:tc>
          <w:tcPr>
            <w:tcW w:type="dxa" w:w="3118"/>
            <w:shd w:val="clear" w:color="auto" w:fill="DEEAF1"/>
          </w:tcPr>
          <w:p>
            <w:r>
              <w:rPr>
                <w:sz w:val="20"/>
              </w:rPr>
              <w:t>01</w:t>
            </w:r>
          </w:p>
        </w:tc>
        <w:tc>
          <w:tcPr>
            <w:tcW w:type="dxa" w:w="3118"/>
            <w:shd w:val="clear" w:color="auto" w:fill="DEEAF1"/>
          </w:tcPr>
          <w:p>
            <w:r>
              <w:rPr>
                <w:sz w:val="20"/>
              </w:rPr>
              <w:t>Februari 2026</w:t>
            </w:r>
          </w:p>
        </w:tc>
      </w:tr>
      <w:tr>
        <w:tc>
          <w:tcPr>
            <w:tcW w:type="dxa" w:w="3118"/>
          </w:tcPr>
          <w:p>
            <w:r>
              <w:rPr>
                <w:sz w:val="20"/>
              </w:rPr>
              <w:t>Chief Information Security Officer (CISO)</w:t>
            </w:r>
          </w:p>
        </w:tc>
        <w:tc>
          <w:tcPr>
            <w:tcW w:type="dxa" w:w="3118"/>
          </w:tcPr>
          <w:p>
            <w:r>
              <w:rPr>
                <w:sz w:val="20"/>
              </w:rPr>
              <w:t>02</w:t>
            </w:r>
          </w:p>
        </w:tc>
        <w:tc>
          <w:tcPr>
            <w:tcW w:type="dxa" w:w="3118"/>
          </w:tcPr>
          <w:p>
            <w:r>
              <w:rPr>
                <w:sz w:val="20"/>
              </w:rPr>
              <w:t>Februari 2026</w:t>
            </w:r>
          </w:p>
        </w:tc>
      </w:tr>
      <w:tr>
        <w:tc>
          <w:tcPr>
            <w:tcW w:type="dxa" w:w="3118"/>
            <w:shd w:val="clear" w:color="auto" w:fill="DEEAF1"/>
          </w:tcPr>
          <w:p>
            <w:r>
              <w:rPr>
                <w:sz w:val="20"/>
              </w:rPr>
              <w:t>Direktur IT &amp; Digital</w:t>
            </w:r>
          </w:p>
        </w:tc>
        <w:tc>
          <w:tcPr>
            <w:tcW w:type="dxa" w:w="3118"/>
            <w:shd w:val="clear" w:color="auto" w:fill="DEEAF1"/>
          </w:tcPr>
          <w:p>
            <w:r>
              <w:rPr>
                <w:sz w:val="20"/>
              </w:rPr>
              <w:t>03</w:t>
            </w:r>
          </w:p>
        </w:tc>
        <w:tc>
          <w:tcPr>
            <w:tcW w:type="dxa" w:w="3118"/>
            <w:shd w:val="clear" w:color="auto" w:fill="DEEAF1"/>
          </w:tcPr>
          <w:p>
            <w:r>
              <w:rPr>
                <w:sz w:val="20"/>
              </w:rPr>
              <w:t>Februari 2026</w:t>
            </w:r>
          </w:p>
        </w:tc>
      </w:tr>
      <w:tr>
        <w:tc>
          <w:tcPr>
            <w:tcW w:type="dxa" w:w="3118"/>
          </w:tcPr>
          <w:p>
            <w:r>
              <w:rPr>
                <w:sz w:val="20"/>
              </w:rPr>
              <w:t>Kepala Departemen IT</w:t>
            </w:r>
          </w:p>
        </w:tc>
        <w:tc>
          <w:tcPr>
            <w:tcW w:type="dxa" w:w="3118"/>
          </w:tcPr>
          <w:p>
            <w:r>
              <w:rPr>
                <w:sz w:val="20"/>
              </w:rPr>
              <w:t>04</w:t>
            </w:r>
          </w:p>
        </w:tc>
        <w:tc>
          <w:tcPr>
            <w:tcW w:type="dxa" w:w="3118"/>
          </w:tcPr>
          <w:p>
            <w:r>
              <w:rPr>
                <w:sz w:val="20"/>
              </w:rPr>
              <w:t>Februari 2026</w:t>
            </w:r>
          </w:p>
        </w:tc>
      </w:tr>
      <w:tr>
        <w:tc>
          <w:tcPr>
            <w:tcW w:type="dxa" w:w="3118"/>
            <w:shd w:val="clear" w:color="auto" w:fill="DEEAF1"/>
          </w:tcPr>
          <w:p>
            <w:r>
              <w:rPr>
                <w:sz w:val="20"/>
              </w:rPr>
              <w:t>Kepala Departemen Kepatuhan &amp; Risiko</w:t>
            </w:r>
          </w:p>
        </w:tc>
        <w:tc>
          <w:tcPr>
            <w:tcW w:type="dxa" w:w="3118"/>
            <w:shd w:val="clear" w:color="auto" w:fill="DEEAF1"/>
          </w:tcPr>
          <w:p>
            <w:r>
              <w:rPr>
                <w:sz w:val="20"/>
              </w:rPr>
              <w:t>05</w:t>
            </w:r>
          </w:p>
        </w:tc>
        <w:tc>
          <w:tcPr>
            <w:tcW w:type="dxa" w:w="3118"/>
            <w:shd w:val="clear" w:color="auto" w:fill="DEEAF1"/>
          </w:tcPr>
          <w:p>
            <w:r>
              <w:rPr>
                <w:sz w:val="20"/>
              </w:rPr>
              <w:t>Februari 2026</w:t>
            </w:r>
          </w:p>
        </w:tc>
      </w:tr>
      <w:tr>
        <w:tc>
          <w:tcPr>
            <w:tcW w:type="dxa" w:w="3118"/>
          </w:tcPr>
          <w:p>
            <w:r>
              <w:rPr>
                <w:sz w:val="20"/>
              </w:rPr>
              <w:t>Kepala Departemen SDM</w:t>
            </w:r>
          </w:p>
        </w:tc>
        <w:tc>
          <w:tcPr>
            <w:tcW w:type="dxa" w:w="3118"/>
          </w:tcPr>
          <w:p>
            <w:r>
              <w:rPr>
                <w:sz w:val="20"/>
              </w:rPr>
              <w:t>06</w:t>
            </w:r>
          </w:p>
        </w:tc>
        <w:tc>
          <w:tcPr>
            <w:tcW w:type="dxa" w:w="3118"/>
          </w:tcPr>
          <w:p>
            <w:r>
              <w:rPr>
                <w:sz w:val="20"/>
              </w:rPr>
              <w:t>Februari 2026</w:t>
            </w:r>
          </w:p>
        </w:tc>
      </w:tr>
    </w:tbl>
    <w:p/>
    <w:p>
      <w:pPr>
        <w:spacing w:before="200" w:after="120"/>
      </w:pPr>
      <w:r>
        <w:rPr>
          <w:b/>
          <w:color w:val="2E74B5"/>
          <w:sz w:val="24"/>
        </w:rPr>
        <w:t>1.3 Persetujuan Dokumen</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20"/>
              </w:rPr>
              <w:t>Peran</w:t>
            </w:r>
          </w:p>
        </w:tc>
        <w:tc>
          <w:tcPr>
            <w:tcW w:type="dxa" w:w="2339"/>
            <w:shd w:val="clear" w:color="auto" w:fill="1F497D"/>
          </w:tcPr>
          <w:p>
            <w:r>
              <w:rPr>
                <w:b/>
                <w:color w:val="FFFFFF"/>
                <w:sz w:val="20"/>
              </w:rPr>
              <w:t>Nama</w:t>
            </w:r>
          </w:p>
        </w:tc>
        <w:tc>
          <w:tcPr>
            <w:tcW w:type="dxa" w:w="2339"/>
            <w:shd w:val="clear" w:color="auto" w:fill="1F497D"/>
          </w:tcPr>
          <w:p>
            <w:r>
              <w:rPr>
                <w:b/>
                <w:color w:val="FFFFFF"/>
                <w:sz w:val="20"/>
              </w:rPr>
              <w:t>Tanda Tangan</w:t>
            </w:r>
          </w:p>
        </w:tc>
        <w:tc>
          <w:tcPr>
            <w:tcW w:type="dxa" w:w="2339"/>
            <w:shd w:val="clear" w:color="auto" w:fill="1F497D"/>
          </w:tcPr>
          <w:p>
            <w:r>
              <w:rPr>
                <w:b/>
                <w:color w:val="FFFFFF"/>
                <w:sz w:val="20"/>
              </w:rPr>
              <w:t>Tanggal</w:t>
            </w:r>
          </w:p>
        </w:tc>
      </w:tr>
      <w:tr>
        <w:tc>
          <w:tcPr>
            <w:tcW w:type="dxa" w:w="2339"/>
            <w:shd w:val="clear" w:color="auto" w:fill="DEEAF1"/>
          </w:tcPr>
          <w:p>
            <w:r>
              <w:rPr>
                <w:sz w:val="20"/>
              </w:rPr>
              <w:t>Penyusun</w:t>
            </w:r>
          </w:p>
        </w:tc>
        <w:tc>
          <w:tcPr>
            <w:tcW w:type="dxa" w:w="2339"/>
            <w:shd w:val="clear" w:color="auto" w:fill="DEEAF1"/>
          </w:tcPr>
          <w:p>
            <w:r>
              <w:rPr>
                <w:sz w:val="20"/>
              </w:rPr>
              <w:t>Tim IT Security</w:t>
            </w:r>
          </w:p>
        </w:tc>
        <w:tc>
          <w:tcPr>
            <w:tcW w:type="dxa" w:w="2339"/>
            <w:shd w:val="clear" w:color="auto" w:fill="DEEAF1"/>
          </w:tcPr>
          <w:p>
            <w:r>
              <w:rPr>
                <w:sz w:val="20"/>
              </w:rPr>
              <w:t>_______________</w:t>
            </w:r>
          </w:p>
        </w:tc>
        <w:tc>
          <w:tcPr>
            <w:tcW w:type="dxa" w:w="2339"/>
            <w:shd w:val="clear" w:color="auto" w:fill="DEEAF1"/>
          </w:tcPr>
          <w:p>
            <w:r>
              <w:rPr>
                <w:sz w:val="20"/>
              </w:rPr>
              <w:t>Februari 2026</w:t>
            </w:r>
          </w:p>
        </w:tc>
      </w:tr>
      <w:tr>
        <w:tc>
          <w:tcPr>
            <w:tcW w:type="dxa" w:w="2339"/>
          </w:tcPr>
          <w:p>
            <w:r>
              <w:rPr>
                <w:sz w:val="20"/>
              </w:rPr>
              <w:t>Pemeriksa</w:t>
            </w:r>
          </w:p>
        </w:tc>
        <w:tc>
          <w:tcPr>
            <w:tcW w:type="dxa" w:w="2339"/>
          </w:tcPr>
          <w:p>
            <w:r>
              <w:rPr>
                <w:sz w:val="20"/>
              </w:rPr>
              <w:t>Chief Information Security Officer</w:t>
            </w:r>
          </w:p>
        </w:tc>
        <w:tc>
          <w:tcPr>
            <w:tcW w:type="dxa" w:w="2339"/>
          </w:tcPr>
          <w:p>
            <w:r>
              <w:rPr>
                <w:sz w:val="20"/>
              </w:rPr>
              <w:t>_______________</w:t>
            </w:r>
          </w:p>
        </w:tc>
        <w:tc>
          <w:tcPr>
            <w:tcW w:type="dxa" w:w="2339"/>
          </w:tcPr>
          <w:p>
            <w:r>
              <w:rPr>
                <w:sz w:val="20"/>
              </w:rPr>
              <w:t>Februari 2026</w:t>
            </w:r>
          </w:p>
        </w:tc>
      </w:tr>
      <w:tr>
        <w:tc>
          <w:tcPr>
            <w:tcW w:type="dxa" w:w="2339"/>
            <w:shd w:val="clear" w:color="auto" w:fill="DEEAF1"/>
          </w:tcPr>
          <w:p>
            <w:r>
              <w:rPr>
                <w:sz w:val="20"/>
              </w:rPr>
              <w:t>Menyetujui</w:t>
            </w:r>
          </w:p>
        </w:tc>
        <w:tc>
          <w:tcPr>
            <w:tcW w:type="dxa" w:w="2339"/>
            <w:shd w:val="clear" w:color="auto" w:fill="DEEAF1"/>
          </w:tcPr>
          <w:p>
            <w:r>
              <w:rPr>
                <w:sz w:val="20"/>
              </w:rPr>
              <w:t>Direktur Utama</w:t>
            </w:r>
          </w:p>
        </w:tc>
        <w:tc>
          <w:tcPr>
            <w:tcW w:type="dxa" w:w="2339"/>
            <w:shd w:val="clear" w:color="auto" w:fill="DEEAF1"/>
          </w:tcPr>
          <w:p>
            <w:r>
              <w:rPr>
                <w:sz w:val="20"/>
              </w:rPr>
              <w:t>_______________</w:t>
            </w:r>
          </w:p>
        </w:tc>
        <w:tc>
          <w:tcPr>
            <w:tcW w:type="dxa" w:w="2339"/>
            <w:shd w:val="clear" w:color="auto" w:fill="DEEAF1"/>
          </w:tcPr>
          <w:p>
            <w:r>
              <w:rPr>
                <w:sz w:val="20"/>
              </w:rPr>
              <w:t>Februari 2026</w:t>
            </w:r>
          </w:p>
        </w:tc>
      </w:tr>
    </w:tbl>
    <w:p>
      <w:r>
        <w:br w:type="page"/>
      </w:r>
    </w:p>
    <w:p>
      <w:pPr>
        <w:spacing w:before="280" w:after="120"/>
        <w:pBdr>
          <w:bottom w:val="single" w:sz="6" w:color="1F497D"/>
        </w:pBdr>
      </w:pPr>
      <w:r>
        <w:rPr>
          <w:b/>
          <w:color w:val="1F497D"/>
          <w:sz w:val="28"/>
        </w:rPr>
        <w:t>2. PERNYATAAN KOMITMEN MANAJEMEN</w:t>
      </w:r>
    </w:p>
    <w:p>
      <w:pPr>
        <w:spacing w:before="40" w:after="80"/>
      </w:pPr>
      <w:r>
        <w:rPr>
          <w:sz w:val="22"/>
        </w:rPr>
        <w:t>Manajemen PT Equity Life Indonesia ('Perusahaan') menyatakan komitmen penuh terhadap perlindungan keamanan informasi sebagai bagian integral dari strategi bisnis dan tata kelola perusahaan yang baik (Good Corporate Governance).</w:t>
      </w:r>
    </w:p>
    <w:p>
      <w:pPr>
        <w:spacing w:before="40" w:after="80"/>
      </w:pPr>
      <w:r>
        <w:rPr>
          <w:sz w:val="22"/>
        </w:rPr>
        <w:t>Dalam menjalankan bisnis asuransi jiwa yang dipercayakan oleh jutaan pemegang polis, Perusahaan mengakui bahwa keamanan informasi adalah landasan kepercayaan yang tidak dapat dikompromikan. Manajemen berkomitmen untuk:</w:t>
      </w:r>
    </w:p>
    <w:p>
      <w:pPr>
        <w:pStyle w:val="ListBullet"/>
        <w:spacing w:before="40" w:after="40"/>
        <w:ind w:left="567"/>
      </w:pPr>
      <w:r>
        <w:rPr>
          <w:sz w:val="22"/>
        </w:rPr>
        <w:t>Menetapkan, menerapkan, memelihara, dan terus meningkatkan Sistem Manajemen Keamanan Informasi (ISMS) sesuai dengan standar ISO/IEC 27001:2022.</w:t>
      </w:r>
    </w:p>
    <w:p>
      <w:pPr>
        <w:pStyle w:val="ListBullet"/>
        <w:spacing w:before="40" w:after="40"/>
        <w:ind w:left="567"/>
      </w:pPr>
      <w:r>
        <w:rPr>
          <w:sz w:val="22"/>
        </w:rPr>
        <w:t>Memastikan ketersediaan sumber daya yang memadai untuk mendukung implementasi ISMS secara efektif.</w:t>
      </w:r>
    </w:p>
    <w:p>
      <w:pPr>
        <w:pStyle w:val="ListBullet"/>
        <w:spacing w:before="40" w:after="40"/>
        <w:ind w:left="567"/>
      </w:pPr>
      <w:r>
        <w:rPr>
          <w:sz w:val="22"/>
        </w:rPr>
        <w:t>Menetapkan tujuan keamanan informasi yang selaras dengan arah strategis Perusahaan.</w:t>
      </w:r>
    </w:p>
    <w:p>
      <w:pPr>
        <w:pStyle w:val="ListBullet"/>
        <w:spacing w:before="40" w:after="40"/>
        <w:ind w:left="567"/>
      </w:pPr>
      <w:r>
        <w:rPr>
          <w:sz w:val="22"/>
        </w:rPr>
        <w:t>Mengintegrasikan persyaratan ISMS ke dalam proses bisnis Perusahaan.</w:t>
      </w:r>
    </w:p>
    <w:p>
      <w:pPr>
        <w:pStyle w:val="ListBullet"/>
        <w:spacing w:before="40" w:after="40"/>
        <w:ind w:left="567"/>
      </w:pPr>
      <w:r>
        <w:rPr>
          <w:sz w:val="22"/>
        </w:rPr>
        <w:t>Mempromosikan budaya kesadaran keamanan informasi di seluruh organisasi.</w:t>
      </w:r>
    </w:p>
    <w:p>
      <w:pPr>
        <w:pStyle w:val="ListBullet"/>
        <w:spacing w:before="40" w:after="40"/>
        <w:ind w:left="567"/>
      </w:pPr>
      <w:r>
        <w:rPr>
          <w:sz w:val="22"/>
        </w:rPr>
        <w:t>Mendukung peran dan tanggung jawab yang relevan untuk mewujudkan tujuan keamanan informasi.</w:t>
      </w:r>
    </w:p>
    <w:p>
      <w:pPr>
        <w:pStyle w:val="ListBullet"/>
        <w:spacing w:before="40" w:after="40"/>
        <w:ind w:left="567"/>
      </w:pPr>
      <w:r>
        <w:rPr>
          <w:sz w:val="22"/>
        </w:rPr>
        <w:t>Memastikan kepatuhan terhadap peraturan perundang-undangan yang berlaku, termasuk regulasi Otoritas Jasa Keuangan (OJK) terkait keamanan data dan informasi.</w:t>
      </w:r>
    </w:p>
    <w:p/>
    <w:p>
      <w:pPr>
        <w:spacing w:before="400"/>
        <w:jc w:val="right"/>
      </w:pPr>
      <w:r>
        <w:t>Jakarta, Februari 2026</w:t>
        <w:br/>
        <w:br/>
        <w:br/>
      </w:r>
    </w:p>
    <w:p>
      <w:pPr>
        <w:jc w:val="right"/>
      </w:pPr>
      <w:r>
        <w:rPr>
          <w:b/>
          <w:sz w:val="22"/>
        </w:rPr>
        <w:t>Direktur Utama</w:t>
        <w:br/>
        <w:t>PT Equity Life Indonesia</w:t>
      </w:r>
    </w:p>
    <w:p/>
    <w:p>
      <w:pPr>
        <w:spacing w:before="280" w:after="120"/>
        <w:pBdr>
          <w:bottom w:val="single" w:sz="6" w:color="1F497D"/>
        </w:pBdr>
      </w:pPr>
      <w:r>
        <w:rPr>
          <w:b/>
          <w:color w:val="1F497D"/>
          <w:sz w:val="28"/>
        </w:rPr>
        <w:t>3. TUJUAN DAN RUANG LINGKUP</w:t>
      </w:r>
    </w:p>
    <w:p>
      <w:pPr>
        <w:spacing w:before="200" w:after="120"/>
      </w:pPr>
      <w:r>
        <w:rPr>
          <w:b/>
          <w:color w:val="2E74B5"/>
          <w:sz w:val="24"/>
        </w:rPr>
        <w:t>3.1 Tujuan</w:t>
      </w:r>
    </w:p>
    <w:p>
      <w:pPr>
        <w:spacing w:before="40" w:after="80"/>
      </w:pPr>
      <w:r>
        <w:rPr>
          <w:sz w:val="22"/>
        </w:rPr>
        <w:t>Kebijakan ini ditetapkan dengan tujuan sebagai berikut:</w:t>
      </w:r>
    </w:p>
    <w:p>
      <w:pPr>
        <w:pStyle w:val="ListBullet"/>
        <w:spacing w:before="40" w:after="40"/>
        <w:ind w:left="567"/>
      </w:pPr>
      <w:r>
        <w:rPr>
          <w:sz w:val="22"/>
        </w:rPr>
        <w:t>Menetapkan kerangka kerja dan arahan manajemen untuk perlindungan informasi di PT Equity Life Indonesia.</w:t>
      </w:r>
    </w:p>
    <w:p>
      <w:pPr>
        <w:pStyle w:val="ListBullet"/>
        <w:spacing w:before="40" w:after="40"/>
        <w:ind w:left="567"/>
      </w:pPr>
      <w:r>
        <w:rPr>
          <w:sz w:val="22"/>
        </w:rPr>
        <w:t>Memastikan kerahasiaan (confidentiality), integritas (integrity), dan ketersediaan (availability) aset informasi Perusahaan.</w:t>
      </w:r>
    </w:p>
    <w:p>
      <w:pPr>
        <w:pStyle w:val="ListBullet"/>
        <w:spacing w:before="40" w:after="40"/>
        <w:ind w:left="567"/>
      </w:pPr>
      <w:r>
        <w:rPr>
          <w:sz w:val="22"/>
        </w:rPr>
        <w:t>Memenuhi kewajiban hukum, regulasi, dan kontraktual terkait keamanan informasi.</w:t>
      </w:r>
    </w:p>
    <w:p>
      <w:pPr>
        <w:pStyle w:val="ListBullet"/>
        <w:spacing w:before="40" w:after="40"/>
        <w:ind w:left="567"/>
      </w:pPr>
      <w:r>
        <w:rPr>
          <w:sz w:val="22"/>
        </w:rPr>
        <w:t>Meminimalkan risiko keamanan informasi yang dapat berdampak pada kelangsungan bisnis.</w:t>
      </w:r>
    </w:p>
    <w:p>
      <w:pPr>
        <w:pStyle w:val="ListBullet"/>
        <w:spacing w:before="40" w:after="40"/>
        <w:ind w:left="567"/>
      </w:pPr>
      <w:r>
        <w:rPr>
          <w:sz w:val="22"/>
        </w:rPr>
        <w:t>Membangun kepercayaan nasabah, mitra bisnis, dan pemangku kepentingan terhadap kemampuan Perusahaan dalam melindungi informasi.</w:t>
      </w:r>
    </w:p>
    <w:p>
      <w:pPr>
        <w:spacing w:before="200" w:after="120"/>
      </w:pPr>
      <w:r>
        <w:rPr>
          <w:b/>
          <w:color w:val="2E74B5"/>
          <w:sz w:val="24"/>
        </w:rPr>
        <w:t>3.2 Ruang Lingkup</w:t>
      </w:r>
    </w:p>
    <w:p>
      <w:pPr>
        <w:spacing w:before="40" w:after="80"/>
      </w:pPr>
      <w:r>
        <w:rPr>
          <w:sz w:val="22"/>
        </w:rPr>
        <w:t>Kebijakan ini berlaku untuk seluruh aspek operasional Sistem Manajemen Keamanan Informasi PT Equity Life Indonesia, mencakup:</w:t>
      </w:r>
    </w:p>
    <w:p>
      <w:pPr>
        <w:pStyle w:val="ListBullet"/>
        <w:spacing w:before="40" w:after="40"/>
        <w:ind w:left="567"/>
      </w:pPr>
      <w:r>
        <w:rPr>
          <w:sz w:val="22"/>
        </w:rPr>
        <w:t>Seluruh karyawan tetap, karyawan kontrak, dan tenaga alih daya (outsourcing) yang bekerja di atau untuk Perusahaan.</w:t>
      </w:r>
    </w:p>
    <w:p>
      <w:pPr>
        <w:pStyle w:val="ListBullet"/>
        <w:spacing w:before="40" w:after="40"/>
        <w:ind w:left="567"/>
      </w:pPr>
      <w:r>
        <w:rPr>
          <w:sz w:val="22"/>
        </w:rPr>
        <w:t>Seluruh aset informasi milik Perusahaan, termasuk data nasabah, data keuangan, data operasional, dan kekayaan intelektual.</w:t>
      </w:r>
    </w:p>
    <w:p>
      <w:pPr>
        <w:pStyle w:val="ListBullet"/>
        <w:spacing w:before="40" w:after="40"/>
        <w:ind w:left="567"/>
      </w:pPr>
      <w:r>
        <w:rPr>
          <w:sz w:val="22"/>
        </w:rPr>
        <w:t>Seluruh sistem informasi, infrastruktur teknologi, dan fasilitas pengolahan data.</w:t>
      </w:r>
    </w:p>
    <w:p>
      <w:pPr>
        <w:pStyle w:val="ListBullet"/>
        <w:spacing w:before="40" w:after="40"/>
        <w:ind w:left="567"/>
      </w:pPr>
      <w:r>
        <w:rPr>
          <w:sz w:val="22"/>
        </w:rPr>
        <w:t>Seluruh mitra bisnis, vendor, dan pihak ketiga yang memiliki akses ke informasi atau sistem Perusahaan.</w:t>
      </w:r>
    </w:p>
    <w:p>
      <w:pPr>
        <w:pStyle w:val="ListBullet"/>
        <w:spacing w:before="40" w:after="40"/>
        <w:ind w:left="567"/>
      </w:pPr>
      <w:r>
        <w:rPr>
          <w:sz w:val="22"/>
        </w:rPr>
        <w:t>Seluruh lokasi operasional Perusahaan, termasuk kantor pusat dan kantor cabang.</w:t>
      </w:r>
    </w:p>
    <w:p>
      <w:pPr>
        <w:pStyle w:val="ListBullet"/>
        <w:spacing w:before="40" w:after="40"/>
        <w:ind w:left="567"/>
      </w:pPr>
      <w:r>
        <w:rPr>
          <w:sz w:val="22"/>
        </w:rPr>
        <w:t>Layanan teknologi informasi yang mendukung proses bisnis inti: sistem administrasi polis, sistem klaim, sistem aktuaria, sistem pemasaran dan distribusi, serta sistem pelaporan keuangan.</w:t>
      </w:r>
    </w:p>
    <w:p>
      <w:pPr>
        <w:spacing w:before="200" w:after="120"/>
      </w:pPr>
      <w:r>
        <w:rPr>
          <w:b/>
          <w:color w:val="2E74B5"/>
          <w:sz w:val="24"/>
        </w:rPr>
        <w:t>3.3 Pengecualian</w:t>
      </w:r>
    </w:p>
    <w:p>
      <w:pPr>
        <w:spacing w:before="40" w:after="80"/>
      </w:pPr>
      <w:r>
        <w:rPr>
          <w:sz w:val="22"/>
        </w:rPr>
        <w:t>Segala pengecualian dari ruang lingkup ISMS ini harus didokumentasikan, dijustifikasi secara formal, dan disetujui oleh CISO dan Direktur terkait. Pengecualian tidak boleh memengaruhi kemampuan atau tanggung jawab Perusahaan dalam memenuhi persyaratan hukum, regulasi, dan kontraktual.</w:t>
      </w:r>
    </w:p>
    <w:p/>
    <w:p>
      <w:pPr>
        <w:spacing w:before="280" w:after="120"/>
        <w:pBdr>
          <w:bottom w:val="single" w:sz="6" w:color="1F497D"/>
        </w:pBdr>
      </w:pPr>
      <w:r>
        <w:rPr>
          <w:b/>
          <w:color w:val="1F497D"/>
          <w:sz w:val="28"/>
        </w:rPr>
        <w:t>4. DEFINISI DAN ISTILAH</w:t>
      </w:r>
    </w:p>
    <w:p>
      <w:pPr>
        <w:spacing w:before="40" w:after="80"/>
      </w:pPr>
      <w:r>
        <w:rPr>
          <w:sz w:val="22"/>
        </w:rPr>
        <w:t>Dalam Kebijakan ini, istilah-istilah berikut memiliki definisi sebagaimana tercantum di bawah ini:</w:t>
      </w:r>
    </w:p>
    <w:tbl>
      <w:tblPr>
        <w:tblStyle w:val="TableGrid"/>
        <w:tblW w:type="auto" w:w="0"/>
        <w:tblLook w:firstColumn="1" w:firstRow="1" w:lastColumn="0" w:lastRow="0" w:noHBand="0" w:noVBand="1" w:val="04A0"/>
      </w:tblPr>
      <w:tblGrid>
        <w:gridCol w:w="4677"/>
        <w:gridCol w:w="4677"/>
      </w:tblGrid>
      <w:tr>
        <w:tc>
          <w:tcPr>
            <w:tcW w:type="dxa" w:w="4677"/>
            <w:shd w:val="clear" w:color="auto" w:fill="1F497D"/>
          </w:tcPr>
          <w:p>
            <w:r>
              <w:rPr>
                <w:b/>
                <w:color w:val="FFFFFF"/>
                <w:sz w:val="20"/>
              </w:rPr>
              <w:t>Istilah</w:t>
            </w:r>
          </w:p>
        </w:tc>
        <w:tc>
          <w:tcPr>
            <w:tcW w:type="dxa" w:w="4677"/>
            <w:shd w:val="clear" w:color="auto" w:fill="1F497D"/>
          </w:tcPr>
          <w:p>
            <w:r>
              <w:rPr>
                <w:b/>
                <w:color w:val="FFFFFF"/>
                <w:sz w:val="20"/>
              </w:rPr>
              <w:t>Definisi</w:t>
            </w:r>
          </w:p>
        </w:tc>
      </w:tr>
      <w:tr>
        <w:tc>
          <w:tcPr>
            <w:tcW w:type="dxa" w:w="4677"/>
            <w:shd w:val="clear" w:color="auto" w:fill="DEEAF1"/>
          </w:tcPr>
          <w:p>
            <w:r>
              <w:rPr>
                <w:b/>
                <w:sz w:val="20"/>
              </w:rPr>
              <w:t>Aset Informasi</w:t>
            </w:r>
          </w:p>
        </w:tc>
        <w:tc>
          <w:tcPr>
            <w:tcW w:type="dxa" w:w="4677"/>
            <w:shd w:val="clear" w:color="auto" w:fill="DEEAF1"/>
          </w:tcPr>
          <w:p>
            <w:r>
              <w:rPr>
                <w:sz w:val="20"/>
              </w:rPr>
              <w:t>Segala sesuatu yang memiliki nilai bagi Perusahaan dalam konteks informasi, termasuk data, perangkat keras, perangkat lunak, jaringan, dan sumber daya manusia.</w:t>
            </w:r>
          </w:p>
        </w:tc>
      </w:tr>
      <w:tr>
        <w:tc>
          <w:tcPr>
            <w:tcW w:type="dxa" w:w="4677"/>
          </w:tcPr>
          <w:p>
            <w:r>
              <w:rPr>
                <w:b/>
                <w:sz w:val="20"/>
              </w:rPr>
              <w:t>Ancaman (Threat)</w:t>
            </w:r>
          </w:p>
        </w:tc>
        <w:tc>
          <w:tcPr>
            <w:tcW w:type="dxa" w:w="4677"/>
          </w:tcPr>
          <w:p>
            <w:r>
              <w:rPr>
                <w:sz w:val="20"/>
              </w:rPr>
              <w:t>Potensi penyebab insiden yang tidak diinginkan yang dapat mengakibatkan kerugian pada sistem atau organisasi.</w:t>
            </w:r>
          </w:p>
        </w:tc>
      </w:tr>
      <w:tr>
        <w:tc>
          <w:tcPr>
            <w:tcW w:type="dxa" w:w="4677"/>
            <w:shd w:val="clear" w:color="auto" w:fill="DEEAF1"/>
          </w:tcPr>
          <w:p>
            <w:r>
              <w:rPr>
                <w:b/>
                <w:sz w:val="20"/>
              </w:rPr>
              <w:t>CISO</w:t>
            </w:r>
          </w:p>
        </w:tc>
        <w:tc>
          <w:tcPr>
            <w:tcW w:type="dxa" w:w="4677"/>
            <w:shd w:val="clear" w:color="auto" w:fill="DEEAF1"/>
          </w:tcPr>
          <w:p>
            <w:r>
              <w:rPr>
                <w:sz w:val="20"/>
              </w:rPr>
              <w:t>Chief Information Security Officer – Pejabat senior yang bertanggung jawab atas strategi, program, dan operasi keamanan informasi Perusahaan.</w:t>
            </w:r>
          </w:p>
        </w:tc>
      </w:tr>
      <w:tr>
        <w:tc>
          <w:tcPr>
            <w:tcW w:type="dxa" w:w="4677"/>
          </w:tcPr>
          <w:p>
            <w:r>
              <w:rPr>
                <w:b/>
                <w:sz w:val="20"/>
              </w:rPr>
              <w:t>CIA Triad</w:t>
            </w:r>
          </w:p>
        </w:tc>
        <w:tc>
          <w:tcPr>
            <w:tcW w:type="dxa" w:w="4677"/>
          </w:tcPr>
          <w:p>
            <w:r>
              <w:rPr>
                <w:sz w:val="20"/>
              </w:rPr>
              <w:t>Tiga prinsip utama keamanan informasi: Confidentiality (Kerahasiaan), Integrity (Integritas), dan Availability (Ketersediaan).</w:t>
            </w:r>
          </w:p>
        </w:tc>
      </w:tr>
      <w:tr>
        <w:tc>
          <w:tcPr>
            <w:tcW w:type="dxa" w:w="4677"/>
            <w:shd w:val="clear" w:color="auto" w:fill="DEEAF1"/>
          </w:tcPr>
          <w:p>
            <w:r>
              <w:rPr>
                <w:b/>
                <w:sz w:val="20"/>
              </w:rPr>
              <w:t>Insiden Keamanan Informasi</w:t>
            </w:r>
          </w:p>
        </w:tc>
        <w:tc>
          <w:tcPr>
            <w:tcW w:type="dxa" w:w="4677"/>
            <w:shd w:val="clear" w:color="auto" w:fill="DEEAF1"/>
          </w:tcPr>
          <w:p>
            <w:r>
              <w:rPr>
                <w:sz w:val="20"/>
              </w:rPr>
              <w:t>Kejadian tunggal atau serangkaian kejadian keamanan informasi yang tidak diinginkan atau tidak diharapkan yang memiliki kemungkinan signifikan untuk mengganggu operasi bisnis.</w:t>
            </w:r>
          </w:p>
        </w:tc>
      </w:tr>
      <w:tr>
        <w:tc>
          <w:tcPr>
            <w:tcW w:type="dxa" w:w="4677"/>
          </w:tcPr>
          <w:p>
            <w:r>
              <w:rPr>
                <w:b/>
                <w:sz w:val="20"/>
              </w:rPr>
              <w:t>ISMS</w:t>
            </w:r>
          </w:p>
        </w:tc>
        <w:tc>
          <w:tcPr>
            <w:tcW w:type="dxa" w:w="4677"/>
          </w:tcPr>
          <w:p>
            <w:r>
              <w:rPr>
                <w:sz w:val="20"/>
              </w:rPr>
              <w:t>Information Security Management System – Sistem Manajemen Keamanan Informasi, yaitu pendekatan sistematis untuk mengelola informasi sensitif perusahaan agar tetap aman.</w:t>
            </w:r>
          </w:p>
        </w:tc>
      </w:tr>
      <w:tr>
        <w:tc>
          <w:tcPr>
            <w:tcW w:type="dxa" w:w="4677"/>
            <w:shd w:val="clear" w:color="auto" w:fill="DEEAF1"/>
          </w:tcPr>
          <w:p>
            <w:r>
              <w:rPr>
                <w:b/>
                <w:sz w:val="20"/>
              </w:rPr>
              <w:t>ISO/IEC 27001:2022</w:t>
            </w:r>
          </w:p>
        </w:tc>
        <w:tc>
          <w:tcPr>
            <w:tcW w:type="dxa" w:w="4677"/>
            <w:shd w:val="clear" w:color="auto" w:fill="DEEAF1"/>
          </w:tcPr>
          <w:p>
            <w:r>
              <w:rPr>
                <w:sz w:val="20"/>
              </w:rPr>
              <w:t>Standar internasional yang menetapkan persyaratan untuk menetapkan, menerapkan, memelihara, dan terus meningkatkan ISMS.</w:t>
            </w:r>
          </w:p>
        </w:tc>
      </w:tr>
      <w:tr>
        <w:tc>
          <w:tcPr>
            <w:tcW w:type="dxa" w:w="4677"/>
          </w:tcPr>
          <w:p>
            <w:r>
              <w:rPr>
                <w:b/>
                <w:sz w:val="20"/>
              </w:rPr>
              <w:t>Kerentanan (Vulnerability)</w:t>
            </w:r>
          </w:p>
        </w:tc>
        <w:tc>
          <w:tcPr>
            <w:tcW w:type="dxa" w:w="4677"/>
          </w:tcPr>
          <w:p>
            <w:r>
              <w:rPr>
                <w:sz w:val="20"/>
              </w:rPr>
              <w:t>Kelemahan pada aset atau kelompok aset yang dapat dieksploitasi oleh satu atau lebih ancaman.</w:t>
            </w:r>
          </w:p>
        </w:tc>
      </w:tr>
      <w:tr>
        <w:tc>
          <w:tcPr>
            <w:tcW w:type="dxa" w:w="4677"/>
            <w:shd w:val="clear" w:color="auto" w:fill="DEEAF1"/>
          </w:tcPr>
          <w:p>
            <w:r>
              <w:rPr>
                <w:b/>
                <w:sz w:val="20"/>
              </w:rPr>
              <w:t>OJK</w:t>
            </w:r>
          </w:p>
        </w:tc>
        <w:tc>
          <w:tcPr>
            <w:tcW w:type="dxa" w:w="4677"/>
            <w:shd w:val="clear" w:color="auto" w:fill="DEEAF1"/>
          </w:tcPr>
          <w:p>
            <w:r>
              <w:rPr>
                <w:sz w:val="20"/>
              </w:rPr>
              <w:t>Otoritas Jasa Keuangan – Lembaga negara yang berfungsi menyelenggarakan sistem pengaturan dan pengawasan yang terintegrasi terhadap keseluruhan kegiatan di dalam sektor jasa keuangan Indonesia.</w:t>
            </w:r>
          </w:p>
        </w:tc>
      </w:tr>
      <w:tr>
        <w:tc>
          <w:tcPr>
            <w:tcW w:type="dxa" w:w="4677"/>
          </w:tcPr>
          <w:p>
            <w:r>
              <w:rPr>
                <w:b/>
                <w:sz w:val="20"/>
              </w:rPr>
              <w:t>Pemilik Aset (Asset Owner)</w:t>
            </w:r>
          </w:p>
        </w:tc>
        <w:tc>
          <w:tcPr>
            <w:tcW w:type="dxa" w:w="4677"/>
          </w:tcPr>
          <w:p>
            <w:r>
              <w:rPr>
                <w:sz w:val="20"/>
              </w:rPr>
              <w:t>Individu atau entitas yang telah disetujui manajemen untuk bertanggung jawab atas pengelolaan dan perlindungan aset informasi.</w:t>
            </w:r>
          </w:p>
        </w:tc>
      </w:tr>
      <w:tr>
        <w:tc>
          <w:tcPr>
            <w:tcW w:type="dxa" w:w="4677"/>
            <w:shd w:val="clear" w:color="auto" w:fill="DEEAF1"/>
          </w:tcPr>
          <w:p>
            <w:r>
              <w:rPr>
                <w:b/>
                <w:sz w:val="20"/>
              </w:rPr>
              <w:t>Risiko</w:t>
            </w:r>
          </w:p>
        </w:tc>
        <w:tc>
          <w:tcPr>
            <w:tcW w:type="dxa" w:w="4677"/>
            <w:shd w:val="clear" w:color="auto" w:fill="DEEAF1"/>
          </w:tcPr>
          <w:p>
            <w:r>
              <w:rPr>
                <w:sz w:val="20"/>
              </w:rPr>
              <w:t>Efek ketidakpastian pada tujuan, diukur sebagai kombinasi antara kemungkinan (likelihood) dan dampak (impact) dari suatu kejadian.</w:t>
            </w:r>
          </w:p>
        </w:tc>
      </w:tr>
    </w:tbl>
    <w:p>
      <w:r>
        <w:br w:type="page"/>
      </w:r>
    </w:p>
    <w:p>
      <w:pPr>
        <w:spacing w:before="280" w:after="120"/>
        <w:pBdr>
          <w:bottom w:val="single" w:sz="6" w:color="1F497D"/>
        </w:pBdr>
      </w:pPr>
      <w:r>
        <w:rPr>
          <w:b/>
          <w:color w:val="1F497D"/>
          <w:sz w:val="28"/>
        </w:rPr>
        <w:t>5. REFERENSI NORMATIF</w:t>
      </w:r>
    </w:p>
    <w:tbl>
      <w:tblPr>
        <w:tblStyle w:val="TableGrid"/>
        <w:tblW w:type="auto" w:w="0"/>
        <w:tblLook w:firstColumn="1" w:firstRow="1" w:lastColumn="0" w:lastRow="0" w:noHBand="0" w:noVBand="1" w:val="04A0"/>
      </w:tblPr>
      <w:tblGrid>
        <w:gridCol w:w="4677"/>
        <w:gridCol w:w="4677"/>
      </w:tblGrid>
      <w:tr>
        <w:tc>
          <w:tcPr>
            <w:tcW w:type="dxa" w:w="4677"/>
            <w:shd w:val="clear" w:color="auto" w:fill="1F497D"/>
          </w:tcPr>
          <w:p>
            <w:r>
              <w:rPr>
                <w:b/>
                <w:color w:val="FFFFFF"/>
                <w:sz w:val="20"/>
              </w:rPr>
              <w:t>Referensi</w:t>
            </w:r>
          </w:p>
        </w:tc>
        <w:tc>
          <w:tcPr>
            <w:tcW w:type="dxa" w:w="4677"/>
            <w:shd w:val="clear" w:color="auto" w:fill="1F497D"/>
          </w:tcPr>
          <w:p>
            <w:r>
              <w:rPr>
                <w:b/>
                <w:color w:val="FFFFFF"/>
                <w:sz w:val="20"/>
              </w:rPr>
              <w:t>Keterangan</w:t>
            </w:r>
          </w:p>
        </w:tc>
      </w:tr>
      <w:tr>
        <w:tc>
          <w:tcPr>
            <w:tcW w:type="dxa" w:w="4677"/>
            <w:shd w:val="clear" w:color="auto" w:fill="DEEAF1"/>
          </w:tcPr>
          <w:p>
            <w:r>
              <w:rPr>
                <w:b/>
                <w:sz w:val="20"/>
              </w:rPr>
              <w:t>ISO/IEC 27001:2022</w:t>
            </w:r>
          </w:p>
        </w:tc>
        <w:tc>
          <w:tcPr>
            <w:tcW w:type="dxa" w:w="4677"/>
            <w:shd w:val="clear" w:color="auto" w:fill="DEEAF1"/>
          </w:tcPr>
          <w:p>
            <w:r>
              <w:rPr>
                <w:sz w:val="20"/>
              </w:rPr>
              <w:t>Information security, cybersecurity and privacy protection — Information security management systems — Requirements</w:t>
            </w:r>
          </w:p>
        </w:tc>
      </w:tr>
      <w:tr>
        <w:tc>
          <w:tcPr>
            <w:tcW w:type="dxa" w:w="4677"/>
          </w:tcPr>
          <w:p>
            <w:r>
              <w:rPr>
                <w:b/>
                <w:sz w:val="20"/>
              </w:rPr>
              <w:t>ISO/IEC 27002:2022</w:t>
            </w:r>
          </w:p>
        </w:tc>
        <w:tc>
          <w:tcPr>
            <w:tcW w:type="dxa" w:w="4677"/>
          </w:tcPr>
          <w:p>
            <w:r>
              <w:rPr>
                <w:sz w:val="20"/>
              </w:rPr>
              <w:t>Information security, cybersecurity and privacy protection — Information security controls</w:t>
            </w:r>
          </w:p>
        </w:tc>
      </w:tr>
      <w:tr>
        <w:tc>
          <w:tcPr>
            <w:tcW w:type="dxa" w:w="4677"/>
            <w:shd w:val="clear" w:color="auto" w:fill="DEEAF1"/>
          </w:tcPr>
          <w:p>
            <w:r>
              <w:rPr>
                <w:b/>
                <w:sz w:val="20"/>
              </w:rPr>
              <w:t>ISO/IEC 27005:2022</w:t>
            </w:r>
          </w:p>
        </w:tc>
        <w:tc>
          <w:tcPr>
            <w:tcW w:type="dxa" w:w="4677"/>
            <w:shd w:val="clear" w:color="auto" w:fill="DEEAF1"/>
          </w:tcPr>
          <w:p>
            <w:r>
              <w:rPr>
                <w:sz w:val="20"/>
              </w:rPr>
              <w:t>Information security, cybersecurity and privacy protection — Guidance on managing information security risks</w:t>
            </w:r>
          </w:p>
        </w:tc>
      </w:tr>
      <w:tr>
        <w:tc>
          <w:tcPr>
            <w:tcW w:type="dxa" w:w="4677"/>
          </w:tcPr>
          <w:p>
            <w:r>
              <w:rPr>
                <w:b/>
                <w:sz w:val="20"/>
              </w:rPr>
              <w:t>POJK No. 11/POJK.03/2022</w:t>
            </w:r>
          </w:p>
        </w:tc>
        <w:tc>
          <w:tcPr>
            <w:tcW w:type="dxa" w:w="4677"/>
          </w:tcPr>
          <w:p>
            <w:r>
              <w:rPr>
                <w:sz w:val="20"/>
              </w:rPr>
              <w:t>Penyelenggaraan Teknologi Informasi oleh Bank Umum (sebagai referensi praktik terbaik industri keuangan)</w:t>
            </w:r>
          </w:p>
        </w:tc>
      </w:tr>
      <w:tr>
        <w:tc>
          <w:tcPr>
            <w:tcW w:type="dxa" w:w="4677"/>
            <w:shd w:val="clear" w:color="auto" w:fill="DEEAF1"/>
          </w:tcPr>
          <w:p>
            <w:r>
              <w:rPr>
                <w:b/>
                <w:sz w:val="20"/>
              </w:rPr>
              <w:t>POJK No. 5/POJK.05/2022</w:t>
            </w:r>
          </w:p>
        </w:tc>
        <w:tc>
          <w:tcPr>
            <w:tcW w:type="dxa" w:w="4677"/>
            <w:shd w:val="clear" w:color="auto" w:fill="DEEAF1"/>
          </w:tcPr>
          <w:p>
            <w:r>
              <w:rPr>
                <w:sz w:val="20"/>
              </w:rPr>
              <w:t>Pengelolaan Keberlangsungan Usaha di Bidang Perasuransian</w:t>
            </w:r>
          </w:p>
        </w:tc>
      </w:tr>
      <w:tr>
        <w:tc>
          <w:tcPr>
            <w:tcW w:type="dxa" w:w="4677"/>
          </w:tcPr>
          <w:p>
            <w:r>
              <w:rPr>
                <w:b/>
                <w:sz w:val="20"/>
              </w:rPr>
              <w:t>UU No. 27 Tahun 2022</w:t>
            </w:r>
          </w:p>
        </w:tc>
        <w:tc>
          <w:tcPr>
            <w:tcW w:type="dxa" w:w="4677"/>
          </w:tcPr>
          <w:p>
            <w:r>
              <w:rPr>
                <w:sz w:val="20"/>
              </w:rPr>
              <w:t>Perlindungan Data Pribadi</w:t>
            </w:r>
          </w:p>
        </w:tc>
      </w:tr>
      <w:tr>
        <w:tc>
          <w:tcPr>
            <w:tcW w:type="dxa" w:w="4677"/>
            <w:shd w:val="clear" w:color="auto" w:fill="DEEAF1"/>
          </w:tcPr>
          <w:p>
            <w:r>
              <w:rPr>
                <w:b/>
                <w:sz w:val="20"/>
              </w:rPr>
              <w:t>UU No. 40 Tahun 2014</w:t>
            </w:r>
          </w:p>
        </w:tc>
        <w:tc>
          <w:tcPr>
            <w:tcW w:type="dxa" w:w="4677"/>
            <w:shd w:val="clear" w:color="auto" w:fill="DEEAF1"/>
          </w:tcPr>
          <w:p>
            <w:r>
              <w:rPr>
                <w:sz w:val="20"/>
              </w:rPr>
              <w:t>Perasuransian</w:t>
            </w:r>
          </w:p>
        </w:tc>
      </w:tr>
      <w:tr>
        <w:tc>
          <w:tcPr>
            <w:tcW w:type="dxa" w:w="4677"/>
          </w:tcPr>
          <w:p>
            <w:r>
              <w:rPr>
                <w:b/>
                <w:sz w:val="20"/>
              </w:rPr>
              <w:t>SE OJK No. 29/SEOJK.05/2020</w:t>
            </w:r>
          </w:p>
        </w:tc>
        <w:tc>
          <w:tcPr>
            <w:tcW w:type="dxa" w:w="4677"/>
          </w:tcPr>
          <w:p>
            <w:r>
              <w:rPr>
                <w:sz w:val="20"/>
              </w:rPr>
              <w:t>Perihal Laporan Pengelolaan Teknologi Informasi Perusahaan Perasuransian, Dana Pensiun, Lembaga Pembiayaan, dan Lembaga Jasa Keuangan Lainnya</w:t>
            </w:r>
          </w:p>
        </w:tc>
      </w:tr>
    </w:tbl>
    <w:p/>
    <w:p>
      <w:pPr>
        <w:spacing w:before="280" w:after="120"/>
        <w:pBdr>
          <w:bottom w:val="single" w:sz="6" w:color="1F497D"/>
        </w:pBdr>
      </w:pPr>
      <w:r>
        <w:rPr>
          <w:b/>
          <w:color w:val="1F497D"/>
          <w:sz w:val="28"/>
        </w:rPr>
        <w:t>6. KEBIJAKAN KEAMANAN INFORMASI</w:t>
      </w:r>
    </w:p>
    <w:p>
      <w:pPr>
        <w:spacing w:before="200" w:after="120"/>
      </w:pPr>
      <w:r>
        <w:rPr>
          <w:b/>
          <w:color w:val="2E74B5"/>
          <w:sz w:val="24"/>
        </w:rPr>
        <w:t>6.1 Prinsip Dasar Keamanan Informasi</w:t>
      </w:r>
    </w:p>
    <w:p>
      <w:pPr>
        <w:spacing w:before="40" w:after="80"/>
      </w:pPr>
      <w:r>
        <w:rPr>
          <w:sz w:val="22"/>
        </w:rPr>
        <w:t>PT Equity Life Indonesia berkomitmen untuk melindungi aset informasinya berdasarkan tiga prinsip utama:</w:t>
      </w:r>
    </w:p>
    <w:p>
      <w:pPr>
        <w:spacing w:before="80"/>
        <w:ind w:left="567"/>
      </w:pPr>
      <w:r>
        <w:rPr>
          <w:b/>
          <w:sz w:val="22"/>
        </w:rPr>
        <w:t xml:space="preserve">Kerahasiaan (Confidentiality): </w:t>
      </w:r>
      <w:r>
        <w:rPr>
          <w:sz w:val="22"/>
        </w:rPr>
        <w:t>Informasi hanya dapat diakses oleh pihak yang berwenang. Akses terhadap data nasabah, data keuangan, dan informasi sensitif lainnya dibatasi berdasarkan kebutuhan untuk diketahui (need-to-know basis).</w:t>
      </w:r>
    </w:p>
    <w:p>
      <w:pPr>
        <w:spacing w:before="80"/>
        <w:ind w:left="567"/>
      </w:pPr>
      <w:r>
        <w:rPr>
          <w:b/>
          <w:sz w:val="22"/>
        </w:rPr>
        <w:t xml:space="preserve">Integritas (Integrity): </w:t>
      </w:r>
      <w:r>
        <w:rPr>
          <w:sz w:val="22"/>
        </w:rPr>
        <w:t>Informasi dijaga dari modifikasi yang tidak sah. Setiap perubahan data harus dapat diidentifikasi, dapat dipertanggungjawabkan, dan dilindungi dari manipulasi.</w:t>
      </w:r>
    </w:p>
    <w:p>
      <w:pPr>
        <w:spacing w:before="80"/>
        <w:ind w:left="567"/>
      </w:pPr>
      <w:r>
        <w:rPr>
          <w:b/>
          <w:sz w:val="22"/>
        </w:rPr>
        <w:t xml:space="preserve">Ketersediaan (Availability): </w:t>
      </w:r>
      <w:r>
        <w:rPr>
          <w:sz w:val="22"/>
        </w:rPr>
        <w:t>Informasi dan sistem yang mendukung proses bisnis harus tersedia bagi pengguna yang berwenang kapanpun dibutuhkan, sesuai dengan tingkat layanan yang disepakati.</w:t>
      </w:r>
    </w:p>
    <w:p>
      <w:pPr>
        <w:spacing w:before="200" w:after="120"/>
      </w:pPr>
      <w:r>
        <w:rPr>
          <w:b/>
          <w:color w:val="2E74B5"/>
          <w:sz w:val="24"/>
        </w:rPr>
        <w:t>6.2 Kebijakan Pengelolaan Akses</w:t>
      </w:r>
    </w:p>
    <w:p>
      <w:pPr>
        <w:spacing w:before="40" w:after="80"/>
      </w:pPr>
      <w:r>
        <w:rPr>
          <w:sz w:val="22"/>
        </w:rPr>
        <w:t>Perusahaan menerapkan kebijakan pengelolaan akses berdasarkan prinsip least privilege dan need-to-know:</w:t>
      </w:r>
    </w:p>
    <w:p>
      <w:pPr>
        <w:pStyle w:val="ListBullet"/>
        <w:spacing w:before="40" w:after="40"/>
        <w:ind w:left="567"/>
      </w:pPr>
      <w:r>
        <w:rPr>
          <w:sz w:val="22"/>
        </w:rPr>
        <w:t>Setiap karyawan hanya diberikan hak akses minimal yang diperlukan untuk melaksanakan tugas dan tanggung jawabnya.</w:t>
      </w:r>
    </w:p>
    <w:p>
      <w:pPr>
        <w:pStyle w:val="ListBullet"/>
        <w:spacing w:before="40" w:after="40"/>
        <w:ind w:left="567"/>
      </w:pPr>
      <w:r>
        <w:rPr>
          <w:sz w:val="22"/>
        </w:rPr>
        <w:t>Identitas digital setiap pengguna harus bersifat unik dan tidak boleh dibagikan kepada pihak lain.</w:t>
      </w:r>
    </w:p>
    <w:p>
      <w:pPr>
        <w:pStyle w:val="ListBullet"/>
        <w:spacing w:before="40" w:after="40"/>
        <w:ind w:left="567"/>
      </w:pPr>
      <w:r>
        <w:rPr>
          <w:sz w:val="22"/>
        </w:rPr>
        <w:t>Penggunaan kata sandi harus memenuhi standar kompleksitas minimum yang ditetapkan: minimal 12 karakter, kombinasi huruf besar, huruf kecil, angka, dan karakter khusus.</w:t>
      </w:r>
    </w:p>
    <w:p>
      <w:pPr>
        <w:pStyle w:val="ListBullet"/>
        <w:spacing w:before="40" w:after="40"/>
        <w:ind w:left="567"/>
      </w:pPr>
      <w:r>
        <w:rPr>
          <w:sz w:val="22"/>
        </w:rPr>
        <w:t>Autentikasi Multi-Faktor (MFA) wajib diterapkan untuk akses ke sistem kritis, jaringan perusahaan dari luar kantor (VPN), dan email perusahaan.</w:t>
      </w:r>
    </w:p>
    <w:p>
      <w:pPr>
        <w:pStyle w:val="ListBullet"/>
        <w:spacing w:before="40" w:after="40"/>
        <w:ind w:left="567"/>
      </w:pPr>
      <w:r>
        <w:rPr>
          <w:sz w:val="22"/>
        </w:rPr>
        <w:t>Hak akses harus ditinjau secara berkala minimal setiap 6 (enam) bulan sekali dan segera dicabut ketika tidak lagi dibutuhkan.</w:t>
      </w:r>
    </w:p>
    <w:p>
      <w:pPr>
        <w:pStyle w:val="ListBullet"/>
        <w:spacing w:before="40" w:after="40"/>
        <w:ind w:left="567"/>
      </w:pPr>
      <w:r>
        <w:rPr>
          <w:sz w:val="22"/>
        </w:rPr>
        <w:t>Akses istimewa (privileged access) kepada administrator sistem dan database harus dipantau, dicatat, dan ditinjau secara berkala.</w:t>
      </w:r>
    </w:p>
    <w:p>
      <w:pPr>
        <w:spacing w:before="200" w:after="120"/>
      </w:pPr>
      <w:r>
        <w:rPr>
          <w:b/>
          <w:color w:val="2E74B5"/>
          <w:sz w:val="24"/>
        </w:rPr>
        <w:t>6.3 Kebijakan Klasifikasi Informasi</w:t>
      </w:r>
    </w:p>
    <w:p>
      <w:pPr>
        <w:spacing w:before="40" w:after="80"/>
      </w:pPr>
      <w:r>
        <w:rPr>
          <w:sz w:val="22"/>
        </w:rPr>
        <w:t>Seluruh aset informasi Perusahaan diklasifikasikan berdasarkan tingkat sensitivitas dan dampak jika terjadi pengungkapan yang tidak sah:</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20"/>
              </w:rPr>
              <w:t>Klasifikasi</w:t>
            </w:r>
          </w:p>
        </w:tc>
        <w:tc>
          <w:tcPr>
            <w:tcW w:type="dxa" w:w="2339"/>
            <w:shd w:val="clear" w:color="auto" w:fill="1F497D"/>
          </w:tcPr>
          <w:p>
            <w:r>
              <w:rPr>
                <w:b/>
                <w:color w:val="FFFFFF"/>
                <w:sz w:val="20"/>
              </w:rPr>
              <w:t>Deskripsi</w:t>
            </w:r>
          </w:p>
        </w:tc>
        <w:tc>
          <w:tcPr>
            <w:tcW w:type="dxa" w:w="2339"/>
            <w:shd w:val="clear" w:color="auto" w:fill="1F497D"/>
          </w:tcPr>
          <w:p>
            <w:r>
              <w:rPr>
                <w:b/>
                <w:color w:val="FFFFFF"/>
                <w:sz w:val="20"/>
              </w:rPr>
              <w:t>Contoh</w:t>
            </w:r>
          </w:p>
        </w:tc>
        <w:tc>
          <w:tcPr>
            <w:tcW w:type="dxa" w:w="2339"/>
            <w:shd w:val="clear" w:color="auto" w:fill="1F497D"/>
          </w:tcPr>
          <w:p>
            <w:r>
              <w:rPr>
                <w:b/>
                <w:color w:val="FFFFFF"/>
                <w:sz w:val="20"/>
              </w:rPr>
              <w:t>Penanganan</w:t>
            </w:r>
          </w:p>
        </w:tc>
      </w:tr>
      <w:tr>
        <w:tc>
          <w:tcPr>
            <w:tcW w:type="dxa" w:w="2339"/>
            <w:shd w:val="clear" w:color="auto" w:fill="DEEAF1"/>
          </w:tcPr>
          <w:p>
            <w:r>
              <w:rPr>
                <w:sz w:val="20"/>
              </w:rPr>
              <w:t>RAHASIA</w:t>
              <w:br/>
              <w:t>(Confidential)</w:t>
            </w:r>
          </w:p>
        </w:tc>
        <w:tc>
          <w:tcPr>
            <w:tcW w:type="dxa" w:w="2339"/>
            <w:shd w:val="clear" w:color="auto" w:fill="DEEAF1"/>
          </w:tcPr>
          <w:p>
            <w:r>
              <w:rPr>
                <w:sz w:val="20"/>
              </w:rPr>
              <w:t>Informasi sangat sensitif yang jika terungkap dapat menyebabkan kerugian besar</w:t>
            </w:r>
          </w:p>
        </w:tc>
        <w:tc>
          <w:tcPr>
            <w:tcW w:type="dxa" w:w="2339"/>
            <w:shd w:val="clear" w:color="auto" w:fill="DEEAF1"/>
          </w:tcPr>
          <w:p>
            <w:r>
              <w:rPr>
                <w:sz w:val="20"/>
              </w:rPr>
              <w:t>Data medis nasabah, strategi bisnis rahasia, kunci enkripsi</w:t>
            </w:r>
          </w:p>
        </w:tc>
        <w:tc>
          <w:tcPr>
            <w:tcW w:type="dxa" w:w="2339"/>
            <w:shd w:val="clear" w:color="auto" w:fill="DEEAF1"/>
          </w:tcPr>
          <w:p>
            <w:r>
              <w:rPr>
                <w:sz w:val="20"/>
              </w:rPr>
              <w:t>Enkripsi wajib, akses sangat terbatas, watermark</w:t>
            </w:r>
          </w:p>
        </w:tc>
      </w:tr>
      <w:tr>
        <w:tc>
          <w:tcPr>
            <w:tcW w:type="dxa" w:w="2339"/>
          </w:tcPr>
          <w:p>
            <w:r>
              <w:rPr>
                <w:sz w:val="20"/>
              </w:rPr>
              <w:t>INTERNAL</w:t>
              <w:br/>
              <w:t>(Internal)</w:t>
            </w:r>
          </w:p>
        </w:tc>
        <w:tc>
          <w:tcPr>
            <w:tcW w:type="dxa" w:w="2339"/>
          </w:tcPr>
          <w:p>
            <w:r>
              <w:rPr>
                <w:sz w:val="20"/>
              </w:rPr>
              <w:t>Informasi bisnis yang hanya untuk penggunaan internal perusahaan</w:t>
            </w:r>
          </w:p>
        </w:tc>
        <w:tc>
          <w:tcPr>
            <w:tcW w:type="dxa" w:w="2339"/>
          </w:tcPr>
          <w:p>
            <w:r>
              <w:rPr>
                <w:sz w:val="20"/>
              </w:rPr>
              <w:t>Data polis, laporan keuangan internal, prosedur operasi</w:t>
            </w:r>
          </w:p>
        </w:tc>
        <w:tc>
          <w:tcPr>
            <w:tcW w:type="dxa" w:w="2339"/>
          </w:tcPr>
          <w:p>
            <w:r>
              <w:rPr>
                <w:sz w:val="20"/>
              </w:rPr>
              <w:t>Tidak boleh dibagikan keluar, password-protected jika dikirim</w:t>
            </w:r>
          </w:p>
        </w:tc>
      </w:tr>
      <w:tr>
        <w:tc>
          <w:tcPr>
            <w:tcW w:type="dxa" w:w="2339"/>
            <w:shd w:val="clear" w:color="auto" w:fill="DEEAF1"/>
          </w:tcPr>
          <w:p>
            <w:r>
              <w:rPr>
                <w:sz w:val="20"/>
              </w:rPr>
              <w:t>TERBATAS</w:t>
              <w:br/>
              <w:t>(Restricted)</w:t>
            </w:r>
          </w:p>
        </w:tc>
        <w:tc>
          <w:tcPr>
            <w:tcW w:type="dxa" w:w="2339"/>
            <w:shd w:val="clear" w:color="auto" w:fill="DEEAF1"/>
          </w:tcPr>
          <w:p>
            <w:r>
              <w:rPr>
                <w:sz w:val="20"/>
              </w:rPr>
              <w:t>Informasi yang distribusinya dibatasi pada kelompok tertentu</w:t>
            </w:r>
          </w:p>
        </w:tc>
        <w:tc>
          <w:tcPr>
            <w:tcW w:type="dxa" w:w="2339"/>
            <w:shd w:val="clear" w:color="auto" w:fill="DEEAF1"/>
          </w:tcPr>
          <w:p>
            <w:r>
              <w:rPr>
                <w:sz w:val="20"/>
              </w:rPr>
              <w:t>Hasil audit, laporan manajemen risiko</w:t>
            </w:r>
          </w:p>
        </w:tc>
        <w:tc>
          <w:tcPr>
            <w:tcW w:type="dxa" w:w="2339"/>
            <w:shd w:val="clear" w:color="auto" w:fill="DEEAF1"/>
          </w:tcPr>
          <w:p>
            <w:r>
              <w:rPr>
                <w:sz w:val="20"/>
              </w:rPr>
              <w:t>Hanya untuk penerima yang ditentukan, dicatat distribusinya</w:t>
            </w:r>
          </w:p>
        </w:tc>
      </w:tr>
      <w:tr>
        <w:tc>
          <w:tcPr>
            <w:tcW w:type="dxa" w:w="2339"/>
          </w:tcPr>
          <w:p>
            <w:r>
              <w:rPr>
                <w:sz w:val="20"/>
              </w:rPr>
              <w:t>PUBLIK</w:t>
              <w:br/>
              <w:t>(Public)</w:t>
            </w:r>
          </w:p>
        </w:tc>
        <w:tc>
          <w:tcPr>
            <w:tcW w:type="dxa" w:w="2339"/>
          </w:tcPr>
          <w:p>
            <w:r>
              <w:rPr>
                <w:sz w:val="20"/>
              </w:rPr>
              <w:t>Informasi yang telah disetujui untuk disebarluaskan kepada publik</w:t>
            </w:r>
          </w:p>
        </w:tc>
        <w:tc>
          <w:tcPr>
            <w:tcW w:type="dxa" w:w="2339"/>
          </w:tcPr>
          <w:p>
            <w:r>
              <w:rPr>
                <w:sz w:val="20"/>
              </w:rPr>
              <w:t>Laporan tahunan, brosur produk, website resmi</w:t>
            </w:r>
          </w:p>
        </w:tc>
        <w:tc>
          <w:tcPr>
            <w:tcW w:type="dxa" w:w="2339"/>
          </w:tcPr>
          <w:p>
            <w:r>
              <w:rPr>
                <w:sz w:val="20"/>
              </w:rPr>
              <w:t>Bebas disebarluaskan melalui kanal resmi</w:t>
            </w:r>
          </w:p>
        </w:tc>
      </w:tr>
    </w:tbl>
    <w:p>
      <w:pPr>
        <w:spacing w:before="200" w:after="120"/>
      </w:pPr>
      <w:r>
        <w:rPr>
          <w:b/>
          <w:color w:val="2E74B5"/>
          <w:sz w:val="24"/>
        </w:rPr>
        <w:t>6.4 Kebijakan Keamanan Jaringan dan Sistem</w:t>
      </w:r>
    </w:p>
    <w:p>
      <w:pPr>
        <w:pStyle w:val="ListBullet"/>
        <w:spacing w:before="40" w:after="40"/>
        <w:ind w:left="567"/>
      </w:pPr>
      <w:r>
        <w:rPr>
          <w:sz w:val="22"/>
        </w:rPr>
        <w:t>Seluruh sistem informasi harus terlindungi oleh lapisan keamanan berlapis (defense in depth), termasuk firewall, sistem deteksi dan pencegahan intrusi (IDS/IPS), dan antivirus.</w:t>
      </w:r>
    </w:p>
    <w:p>
      <w:pPr>
        <w:pStyle w:val="ListBullet"/>
        <w:spacing w:before="40" w:after="40"/>
        <w:ind w:left="567"/>
      </w:pPr>
      <w:r>
        <w:rPr>
          <w:sz w:val="22"/>
        </w:rPr>
        <w:t>Jaringan perusahaan harus disegmentasi berdasarkan klasifikasi dan fungsi sistem untuk meminimalkan dampak insiden keamanan.</w:t>
      </w:r>
    </w:p>
    <w:p>
      <w:pPr>
        <w:pStyle w:val="ListBullet"/>
        <w:spacing w:before="40" w:after="40"/>
        <w:ind w:left="567"/>
      </w:pPr>
      <w:r>
        <w:rPr>
          <w:sz w:val="22"/>
        </w:rPr>
        <w:t>Pembaruan patch keamanan harus diterapkan secara tepat waktu: patch kritis dalam 72 jam, patch penting dalam 30 hari.</w:t>
      </w:r>
    </w:p>
    <w:p>
      <w:pPr>
        <w:pStyle w:val="ListBullet"/>
        <w:spacing w:before="40" w:after="40"/>
        <w:ind w:left="567"/>
      </w:pPr>
      <w:r>
        <w:rPr>
          <w:sz w:val="22"/>
        </w:rPr>
        <w:t>Penggunaan perangkat penyimpanan eksternal (USB, hard disk eksternal) pada sistem perusahaan harus mendapat persetujuan dan dibatasi hanya untuk keperluan bisnis yang sah.</w:t>
      </w:r>
    </w:p>
    <w:p>
      <w:pPr>
        <w:pStyle w:val="ListBullet"/>
        <w:spacing w:before="40" w:after="40"/>
        <w:ind w:left="567"/>
      </w:pPr>
      <w:r>
        <w:rPr>
          <w:sz w:val="22"/>
        </w:rPr>
        <w:t>Enkripsi menggunakan standar minimal AES-256 wajib diterapkan untuk data sensitif yang disimpan dan ditransmisikan.</w:t>
      </w:r>
    </w:p>
    <w:p>
      <w:pPr>
        <w:pStyle w:val="ListBullet"/>
        <w:spacing w:before="40" w:after="40"/>
        <w:ind w:left="567"/>
      </w:pPr>
      <w:r>
        <w:rPr>
          <w:sz w:val="22"/>
        </w:rPr>
        <w:t>Seluruh aktivitas pada sistem kritis harus dicatat dalam log audit yang terpusat, terlindungi dari modifikasi, dan disimpan minimal selama 5 (lima) tahun.</w:t>
      </w:r>
    </w:p>
    <w:p>
      <w:pPr>
        <w:spacing w:before="200" w:after="120"/>
      </w:pPr>
      <w:r>
        <w:rPr>
          <w:b/>
          <w:color w:val="2E74B5"/>
          <w:sz w:val="24"/>
        </w:rPr>
        <w:t>6.5 Kebijakan Pengelolaan Pihak Ketiga</w:t>
      </w:r>
    </w:p>
    <w:p>
      <w:pPr>
        <w:spacing w:before="40" w:after="80"/>
      </w:pPr>
      <w:r>
        <w:rPr>
          <w:sz w:val="22"/>
        </w:rPr>
        <w:t>Hubungan dengan vendor, mitra, dan pihak ketiga yang memiliki akses ke aset informasi Perusahaan diatur sebagai berikut:</w:t>
      </w:r>
    </w:p>
    <w:p>
      <w:pPr>
        <w:pStyle w:val="ListBullet"/>
        <w:spacing w:before="40" w:after="40"/>
        <w:ind w:left="567"/>
      </w:pPr>
      <w:r>
        <w:rPr>
          <w:sz w:val="22"/>
        </w:rPr>
        <w:t>Penilaian keamanan informasi (security assessment) wajib dilakukan sebelum melakukan engagement dengan pihak ketiga yang akan mengakses data sensitif.</w:t>
      </w:r>
    </w:p>
    <w:p>
      <w:pPr>
        <w:pStyle w:val="ListBullet"/>
        <w:spacing w:before="40" w:after="40"/>
        <w:ind w:left="567"/>
      </w:pPr>
      <w:r>
        <w:rPr>
          <w:sz w:val="22"/>
        </w:rPr>
        <w:t>Perjanjian kerahasiaan (Non-Disclosure Agreement/NDA) dan klausul keamanan informasi wajib tercantum dalam setiap kontrak dengan pihak ketiga.</w:t>
      </w:r>
    </w:p>
    <w:p>
      <w:pPr>
        <w:pStyle w:val="ListBullet"/>
        <w:spacing w:before="40" w:after="40"/>
        <w:ind w:left="567"/>
      </w:pPr>
      <w:r>
        <w:rPr>
          <w:sz w:val="22"/>
        </w:rPr>
        <w:t>Akses pihak ketiga ke sistem dan data Perusahaan harus dibatasi sesuai kebutuhan minimum dan dipantau secara aktif.</w:t>
      </w:r>
    </w:p>
    <w:p>
      <w:pPr>
        <w:pStyle w:val="ListBullet"/>
        <w:spacing w:before="40" w:after="40"/>
        <w:ind w:left="567"/>
      </w:pPr>
      <w:r>
        <w:rPr>
          <w:sz w:val="22"/>
        </w:rPr>
        <w:t>Penilaian kinerja dan kepatuhan keamanan informasi pihak ketiga dilakukan secara berkala, minimal setahun sekali.</w:t>
      </w:r>
    </w:p>
    <w:p>
      <w:pPr>
        <w:pStyle w:val="ListBullet"/>
        <w:spacing w:before="40" w:after="40"/>
        <w:ind w:left="567"/>
      </w:pPr>
      <w:r>
        <w:rPr>
          <w:sz w:val="22"/>
        </w:rPr>
        <w:t>Rantai pasokan teknologi (technology supply chain) harus dinilai risikonya secara berkala.</w:t>
      </w:r>
    </w:p>
    <w:p>
      <w:pPr>
        <w:spacing w:before="200" w:after="120"/>
      </w:pPr>
      <w:r>
        <w:rPr>
          <w:b/>
          <w:color w:val="2E74B5"/>
          <w:sz w:val="24"/>
        </w:rPr>
        <w:t>6.6 Kebijakan Keamanan Fisik</w:t>
      </w:r>
    </w:p>
    <w:p>
      <w:pPr>
        <w:pStyle w:val="ListBullet"/>
        <w:spacing w:before="40" w:after="40"/>
        <w:ind w:left="567"/>
      </w:pPr>
      <w:r>
        <w:rPr>
          <w:sz w:val="22"/>
        </w:rPr>
        <w:t>Akses ke ruang server, pusat data, dan area pemrosesan informasi sensitif harus dibatasi dan dipantau melalui sistem kontrol akses fisik.</w:t>
      </w:r>
    </w:p>
    <w:p>
      <w:pPr>
        <w:pStyle w:val="ListBullet"/>
        <w:spacing w:before="40" w:after="40"/>
        <w:ind w:left="567"/>
      </w:pPr>
      <w:r>
        <w:rPr>
          <w:sz w:val="22"/>
        </w:rPr>
        <w:t>CCTV harus beroperasi 24/7 di seluruh area fasilitas pengolahan informasi.</w:t>
      </w:r>
    </w:p>
    <w:p>
      <w:pPr>
        <w:pStyle w:val="ListBullet"/>
        <w:spacing w:before="40" w:after="40"/>
        <w:ind w:left="567"/>
      </w:pPr>
      <w:r>
        <w:rPr>
          <w:sz w:val="22"/>
        </w:rPr>
        <w:t>Dokumen dan media yang mengandung informasi sensitif harus dihancurkan secara aman menggunakan shredder atau metode yang setara.</w:t>
      </w:r>
    </w:p>
    <w:p>
      <w:pPr>
        <w:pStyle w:val="ListBullet"/>
        <w:spacing w:before="40" w:after="40"/>
        <w:ind w:left="567"/>
      </w:pPr>
      <w:r>
        <w:rPr>
          <w:sz w:val="22"/>
        </w:rPr>
        <w:t>Perangkat keras yang sudah tidak digunakan harus melalui proses sanitasi data sebelum dibuang atau dialihfungsikan.</w:t>
      </w:r>
    </w:p>
    <w:p>
      <w:pPr>
        <w:pStyle w:val="ListBullet"/>
        <w:spacing w:before="40" w:after="40"/>
        <w:ind w:left="567"/>
      </w:pPr>
      <w:r>
        <w:rPr>
          <w:sz w:val="22"/>
        </w:rPr>
        <w:t>Karyawan wajib menerapkan kebijakan meja bersih (clean desk policy) – tidak meninggalkan informasi sensitif di atas meja tanpa pengawasan.</w:t>
      </w:r>
    </w:p>
    <w:p>
      <w:r>
        <w:br w:type="page"/>
      </w:r>
    </w:p>
    <w:p>
      <w:pPr>
        <w:spacing w:before="280" w:after="120"/>
        <w:pBdr>
          <w:bottom w:val="single" w:sz="6" w:color="1F497D"/>
        </w:pBdr>
      </w:pPr>
      <w:r>
        <w:rPr>
          <w:b/>
          <w:color w:val="1F497D"/>
          <w:sz w:val="28"/>
        </w:rPr>
        <w:t>7. PERAN DAN TANGGUNG JAWAB</w:t>
      </w:r>
    </w:p>
    <w:p>
      <w:pPr>
        <w:spacing w:before="40" w:after="80"/>
      </w:pPr>
      <w:r>
        <w:rPr>
          <w:sz w:val="22"/>
        </w:rPr>
        <w:t>Keamanan informasi adalah tanggung jawab bersama seluruh elemen organisasi. Berikut adalah pembagian peran dan tanggung jawab utama:</w:t>
      </w:r>
    </w:p>
    <w:p>
      <w:pPr>
        <w:spacing w:before="200" w:after="120"/>
      </w:pPr>
      <w:r>
        <w:rPr>
          <w:b/>
          <w:color w:val="2E74B5"/>
          <w:sz w:val="24"/>
        </w:rPr>
        <w:t>7.x  Direksi / Board of Directors</w:t>
      </w:r>
    </w:p>
    <w:p>
      <w:pPr>
        <w:pStyle w:val="ListBullet"/>
        <w:spacing w:before="40" w:after="40"/>
        <w:ind w:left="567"/>
      </w:pPr>
      <w:r>
        <w:rPr>
          <w:sz w:val="22"/>
        </w:rPr>
        <w:t>Memberikan arahan strategis dan dukungan penuh terhadap implementasi ISMS.</w:t>
      </w:r>
    </w:p>
    <w:p>
      <w:pPr>
        <w:pStyle w:val="ListBullet"/>
        <w:spacing w:before="40" w:after="40"/>
        <w:ind w:left="567"/>
      </w:pPr>
      <w:r>
        <w:rPr>
          <w:sz w:val="22"/>
        </w:rPr>
        <w:t>Menyetujui kebijakan keamanan informasi dan mengalokasikan sumber daya yang memadai.</w:t>
      </w:r>
    </w:p>
    <w:p>
      <w:pPr>
        <w:pStyle w:val="ListBullet"/>
        <w:spacing w:before="40" w:after="40"/>
        <w:ind w:left="567"/>
      </w:pPr>
      <w:r>
        <w:rPr>
          <w:sz w:val="22"/>
        </w:rPr>
        <w:t>Memastikan ISMS selaras dengan tujuan bisnis dan regulasi yang berlaku.</w:t>
      </w:r>
    </w:p>
    <w:p>
      <w:pPr>
        <w:pStyle w:val="ListBullet"/>
        <w:spacing w:before="40" w:after="40"/>
        <w:ind w:left="567"/>
      </w:pPr>
      <w:r>
        <w:rPr>
          <w:sz w:val="22"/>
        </w:rPr>
        <w:t>Meninjau laporan kinerja ISMS dan mengambil keputusan strategis terkait risiko keamanan informasi.</w:t>
      </w:r>
    </w:p>
    <w:p/>
    <w:p>
      <w:pPr>
        <w:spacing w:before="200" w:after="120"/>
      </w:pPr>
      <w:r>
        <w:rPr>
          <w:b/>
          <w:color w:val="2E74B5"/>
          <w:sz w:val="24"/>
        </w:rPr>
        <w:t>7.x  Chief Information Security Officer (CISO)</w:t>
      </w:r>
    </w:p>
    <w:p>
      <w:pPr>
        <w:pStyle w:val="ListBullet"/>
        <w:spacing w:before="40" w:after="40"/>
        <w:ind w:left="567"/>
      </w:pPr>
      <w:r>
        <w:rPr>
          <w:sz w:val="22"/>
        </w:rPr>
        <w:t>Memimpin perencanaan, implementasi, dan pengawasan program keamanan informasi.</w:t>
      </w:r>
    </w:p>
    <w:p>
      <w:pPr>
        <w:pStyle w:val="ListBullet"/>
        <w:spacing w:before="40" w:after="40"/>
        <w:ind w:left="567"/>
      </w:pPr>
      <w:r>
        <w:rPr>
          <w:sz w:val="22"/>
        </w:rPr>
        <w:t>Menetapkan standar, prosedur, dan panduan keamanan informasi.</w:t>
      </w:r>
    </w:p>
    <w:p>
      <w:pPr>
        <w:pStyle w:val="ListBullet"/>
        <w:spacing w:before="40" w:after="40"/>
        <w:ind w:left="567"/>
      </w:pPr>
      <w:r>
        <w:rPr>
          <w:sz w:val="22"/>
        </w:rPr>
        <w:t>Melaporkan status keamanan informasi kepada Direksi secara berkala.</w:t>
      </w:r>
    </w:p>
    <w:p>
      <w:pPr>
        <w:pStyle w:val="ListBullet"/>
        <w:spacing w:before="40" w:after="40"/>
        <w:ind w:left="567"/>
      </w:pPr>
      <w:r>
        <w:rPr>
          <w:sz w:val="22"/>
        </w:rPr>
        <w:t>Memastikan kesiapan respons insiden dan kelangsungan bisnis.</w:t>
      </w:r>
    </w:p>
    <w:p>
      <w:pPr>
        <w:pStyle w:val="ListBullet"/>
        <w:spacing w:before="40" w:after="40"/>
        <w:ind w:left="567"/>
      </w:pPr>
      <w:r>
        <w:rPr>
          <w:sz w:val="22"/>
        </w:rPr>
        <w:t>Berkoordinasi dengan regulator dan pihak eksternal terkait keamanan informasi.</w:t>
      </w:r>
    </w:p>
    <w:p/>
    <w:p>
      <w:pPr>
        <w:spacing w:before="200" w:after="120"/>
      </w:pPr>
      <w:r>
        <w:rPr>
          <w:b/>
          <w:color w:val="2E74B5"/>
          <w:sz w:val="24"/>
        </w:rPr>
        <w:t>7.x  Departemen Teknologi Informasi (IT)</w:t>
      </w:r>
    </w:p>
    <w:p>
      <w:pPr>
        <w:pStyle w:val="ListBullet"/>
        <w:spacing w:before="40" w:after="40"/>
        <w:ind w:left="567"/>
      </w:pPr>
      <w:r>
        <w:rPr>
          <w:sz w:val="22"/>
        </w:rPr>
        <w:t>Mengimplementasikan dan memelihara kontrol teknis keamanan informasi.</w:t>
      </w:r>
    </w:p>
    <w:p>
      <w:pPr>
        <w:pStyle w:val="ListBullet"/>
        <w:spacing w:before="40" w:after="40"/>
        <w:ind w:left="567"/>
      </w:pPr>
      <w:r>
        <w:rPr>
          <w:sz w:val="22"/>
        </w:rPr>
        <w:t>Mengelola infrastruktur keamanan (firewall, IDS/IPS, antivirus, enkripsi).</w:t>
      </w:r>
    </w:p>
    <w:p>
      <w:pPr>
        <w:pStyle w:val="ListBullet"/>
        <w:spacing w:before="40" w:after="40"/>
        <w:ind w:left="567"/>
      </w:pPr>
      <w:r>
        <w:rPr>
          <w:sz w:val="22"/>
        </w:rPr>
        <w:t>Memastikan backup data dilakukan secara teratur dan dapat dipulihkan.</w:t>
      </w:r>
    </w:p>
    <w:p>
      <w:pPr>
        <w:pStyle w:val="ListBullet"/>
        <w:spacing w:before="40" w:after="40"/>
        <w:ind w:left="567"/>
      </w:pPr>
      <w:r>
        <w:rPr>
          <w:sz w:val="22"/>
        </w:rPr>
        <w:t>Melaksanakan patch management dan vulnerability management.</w:t>
      </w:r>
    </w:p>
    <w:p>
      <w:pPr>
        <w:pStyle w:val="ListBullet"/>
        <w:spacing w:before="40" w:after="40"/>
        <w:ind w:left="567"/>
      </w:pPr>
      <w:r>
        <w:rPr>
          <w:sz w:val="22"/>
        </w:rPr>
        <w:t>Mendukung investigasi insiden keamanan dari sisi teknis.</w:t>
      </w:r>
    </w:p>
    <w:p/>
    <w:p>
      <w:pPr>
        <w:spacing w:before="200" w:after="120"/>
      </w:pPr>
      <w:r>
        <w:rPr>
          <w:b/>
          <w:color w:val="2E74B5"/>
          <w:sz w:val="24"/>
        </w:rPr>
        <w:t>7.x  Departemen Kepatuhan &amp; Manajemen Risiko</w:t>
      </w:r>
    </w:p>
    <w:p>
      <w:pPr>
        <w:pStyle w:val="ListBullet"/>
        <w:spacing w:before="40" w:after="40"/>
        <w:ind w:left="567"/>
      </w:pPr>
      <w:r>
        <w:rPr>
          <w:sz w:val="22"/>
        </w:rPr>
        <w:t>Memastikan ISMS memenuhi persyaratan regulasi OJK dan peraturan yang berlaku.</w:t>
      </w:r>
    </w:p>
    <w:p>
      <w:pPr>
        <w:pStyle w:val="ListBullet"/>
        <w:spacing w:before="40" w:after="40"/>
        <w:ind w:left="567"/>
      </w:pPr>
      <w:r>
        <w:rPr>
          <w:sz w:val="22"/>
        </w:rPr>
        <w:t>Melakukan penilaian risiko keamanan informasi secara berkala.</w:t>
      </w:r>
    </w:p>
    <w:p>
      <w:pPr>
        <w:pStyle w:val="ListBullet"/>
        <w:spacing w:before="40" w:after="40"/>
        <w:ind w:left="567"/>
      </w:pPr>
      <w:r>
        <w:rPr>
          <w:sz w:val="22"/>
        </w:rPr>
        <w:t>Mengkoordinasikan audit internal dan eksternal ISMS.</w:t>
      </w:r>
    </w:p>
    <w:p>
      <w:pPr>
        <w:pStyle w:val="ListBullet"/>
        <w:spacing w:before="40" w:after="40"/>
        <w:ind w:left="567"/>
      </w:pPr>
      <w:r>
        <w:rPr>
          <w:sz w:val="22"/>
        </w:rPr>
        <w:t>Memantau perubahan regulasi yang berdampak pada keamanan informasi.</w:t>
      </w:r>
    </w:p>
    <w:p/>
    <w:p>
      <w:pPr>
        <w:spacing w:before="200" w:after="120"/>
      </w:pPr>
      <w:r>
        <w:rPr>
          <w:b/>
          <w:color w:val="2E74B5"/>
          <w:sz w:val="24"/>
        </w:rPr>
        <w:t>7.x  Departemen Sumber Daya Manusia (SDM)</w:t>
      </w:r>
    </w:p>
    <w:p>
      <w:pPr>
        <w:pStyle w:val="ListBullet"/>
        <w:spacing w:before="40" w:after="40"/>
        <w:ind w:left="567"/>
      </w:pPr>
      <w:r>
        <w:rPr>
          <w:sz w:val="22"/>
        </w:rPr>
        <w:t>Memastikan aspek keamanan informasi tercantum dalam kontrak kerja dan perjanjian kerahasiaan.</w:t>
      </w:r>
    </w:p>
    <w:p>
      <w:pPr>
        <w:pStyle w:val="ListBullet"/>
        <w:spacing w:before="40" w:after="40"/>
        <w:ind w:left="567"/>
      </w:pPr>
      <w:r>
        <w:rPr>
          <w:sz w:val="22"/>
        </w:rPr>
        <w:t>Mengkoordinasikan program pelatihan dan kesadaran keamanan informasi.</w:t>
      </w:r>
    </w:p>
    <w:p>
      <w:pPr>
        <w:pStyle w:val="ListBullet"/>
        <w:spacing w:before="40" w:after="40"/>
        <w:ind w:left="567"/>
      </w:pPr>
      <w:r>
        <w:rPr>
          <w:sz w:val="22"/>
        </w:rPr>
        <w:t>Mengelola proses onboarding dan offboarding terkait hak akses.</w:t>
      </w:r>
    </w:p>
    <w:p>
      <w:pPr>
        <w:pStyle w:val="ListBullet"/>
        <w:spacing w:before="40" w:after="40"/>
        <w:ind w:left="567"/>
      </w:pPr>
      <w:r>
        <w:rPr>
          <w:sz w:val="22"/>
        </w:rPr>
        <w:t>Menangani pelanggaran kebijakan keamanan informasi dari aspek ketenagakerjaan.</w:t>
      </w:r>
    </w:p>
    <w:p/>
    <w:p>
      <w:pPr>
        <w:spacing w:before="200" w:after="120"/>
      </w:pPr>
      <w:r>
        <w:rPr>
          <w:b/>
          <w:color w:val="2E74B5"/>
          <w:sz w:val="24"/>
        </w:rPr>
        <w:t>7.x  Seluruh Karyawan</w:t>
      </w:r>
    </w:p>
    <w:p>
      <w:pPr>
        <w:pStyle w:val="ListBullet"/>
        <w:spacing w:before="40" w:after="40"/>
        <w:ind w:left="567"/>
      </w:pPr>
      <w:r>
        <w:rPr>
          <w:sz w:val="22"/>
        </w:rPr>
        <w:t>Mematuhi seluruh kebijakan, prosedur, dan panduan keamanan informasi.</w:t>
      </w:r>
    </w:p>
    <w:p>
      <w:pPr>
        <w:pStyle w:val="ListBullet"/>
        <w:spacing w:before="40" w:after="40"/>
        <w:ind w:left="567"/>
      </w:pPr>
      <w:r>
        <w:rPr>
          <w:sz w:val="22"/>
        </w:rPr>
        <w:t>Melindungi aset informasi yang dipercayakan kepada mereka.</w:t>
      </w:r>
    </w:p>
    <w:p>
      <w:pPr>
        <w:pStyle w:val="ListBullet"/>
        <w:spacing w:before="40" w:after="40"/>
        <w:ind w:left="567"/>
      </w:pPr>
      <w:r>
        <w:rPr>
          <w:sz w:val="22"/>
        </w:rPr>
        <w:t>Melaporkan insiden, anomali, atau potensi pelanggaran keamanan informasi sesegera mungkin.</w:t>
      </w:r>
    </w:p>
    <w:p>
      <w:pPr>
        <w:pStyle w:val="ListBullet"/>
        <w:spacing w:before="40" w:after="40"/>
        <w:ind w:left="567"/>
      </w:pPr>
      <w:r>
        <w:rPr>
          <w:sz w:val="22"/>
        </w:rPr>
        <w:t>Mengikuti program pelatihan dan kesadaran keamanan informasi yang diwajibkan.</w:t>
      </w:r>
    </w:p>
    <w:p>
      <w:pPr>
        <w:pStyle w:val="ListBullet"/>
        <w:spacing w:before="40" w:after="40"/>
        <w:ind w:left="567"/>
      </w:pPr>
      <w:r>
        <w:rPr>
          <w:sz w:val="22"/>
        </w:rPr>
        <w:t>Tidak mengungkapkan informasi sensitif kepada pihak yang tidak berwenang.</w:t>
      </w:r>
    </w:p>
    <w:p/>
    <w:p>
      <w:r>
        <w:br w:type="page"/>
      </w:r>
    </w:p>
    <w:p>
      <w:pPr>
        <w:spacing w:before="280" w:after="120"/>
        <w:pBdr>
          <w:bottom w:val="single" w:sz="6" w:color="1F497D"/>
        </w:pBdr>
      </w:pPr>
      <w:r>
        <w:rPr>
          <w:b/>
          <w:color w:val="1F497D"/>
          <w:sz w:val="28"/>
        </w:rPr>
        <w:t>8. PENGELOLAAN RISIKO KEAMANAN INFORMASI</w:t>
      </w:r>
    </w:p>
    <w:p>
      <w:pPr>
        <w:spacing w:before="40" w:after="80"/>
      </w:pPr>
      <w:r>
        <w:rPr>
          <w:sz w:val="22"/>
        </w:rPr>
        <w:t>PT Equity Life Indonesia menerapkan pendekatan berbasis risiko (risk-based approach) dalam pengelolaan keamanan informasi, sesuai dengan persyaratan ISO/IEC 27001:2022 dan ISO/IEC 27005:2022.</w:t>
      </w:r>
    </w:p>
    <w:p>
      <w:pPr>
        <w:spacing w:before="200" w:after="120"/>
      </w:pPr>
      <w:r>
        <w:rPr>
          <w:b/>
          <w:color w:val="2E74B5"/>
          <w:sz w:val="24"/>
        </w:rPr>
        <w:t>8.1 Penilaian Risiko</w:t>
      </w:r>
    </w:p>
    <w:p>
      <w:pPr>
        <w:pStyle w:val="ListBullet"/>
        <w:spacing w:before="40" w:after="40"/>
        <w:ind w:left="567"/>
      </w:pPr>
      <w:r>
        <w:rPr>
          <w:sz w:val="22"/>
        </w:rPr>
        <w:t>Penilaian risiko keamanan informasi dilakukan minimal setahun sekali dan sewaktu-waktu terjadi perubahan signifikan.</w:t>
      </w:r>
    </w:p>
    <w:p>
      <w:pPr>
        <w:pStyle w:val="ListBullet"/>
        <w:spacing w:before="40" w:after="40"/>
        <w:ind w:left="567"/>
      </w:pPr>
      <w:r>
        <w:rPr>
          <w:sz w:val="22"/>
        </w:rPr>
        <w:t>Metodologi penilaian risiko yang digunakan bersifat konsisten, valid, dan dapat dibandingkan antar periode.</w:t>
      </w:r>
    </w:p>
    <w:p>
      <w:pPr>
        <w:pStyle w:val="ListBullet"/>
        <w:spacing w:before="40" w:after="40"/>
        <w:ind w:left="567"/>
      </w:pPr>
      <w:r>
        <w:rPr>
          <w:sz w:val="22"/>
        </w:rPr>
        <w:t>Setiap risiko diidentifikasi, dianalisis (berdasarkan likelihood dan impact), dan dievaluasi terhadap kriteria risiko yang telah ditetapkan.</w:t>
      </w:r>
    </w:p>
    <w:p>
      <w:pPr>
        <w:pStyle w:val="ListBullet"/>
        <w:spacing w:before="40" w:after="40"/>
        <w:ind w:left="567"/>
      </w:pPr>
      <w:r>
        <w:rPr>
          <w:sz w:val="22"/>
        </w:rPr>
        <w:t>Hasil penilaian risiko harus terdokumentasi dan dapat dipertanggungjawabkan.</w:t>
      </w:r>
    </w:p>
    <w:p>
      <w:pPr>
        <w:spacing w:before="200" w:after="120"/>
      </w:pPr>
      <w:r>
        <w:rPr>
          <w:b/>
          <w:color w:val="2E74B5"/>
          <w:sz w:val="24"/>
        </w:rPr>
        <w:t>8.2 Penanganan Risiko</w:t>
      </w:r>
    </w:p>
    <w:p>
      <w:pPr>
        <w:spacing w:before="40" w:after="80"/>
      </w:pPr>
      <w:r>
        <w:rPr>
          <w:sz w:val="22"/>
        </w:rPr>
        <w:t>Risiko yang telah diidentifikasi ditangani melalui salah satu opsi berikut:</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20"/>
              </w:rPr>
              <w:t>Opsi Penanganan</w:t>
            </w:r>
          </w:p>
        </w:tc>
        <w:tc>
          <w:tcPr>
            <w:tcW w:type="dxa" w:w="3118"/>
            <w:shd w:val="clear" w:color="auto" w:fill="1F497D"/>
          </w:tcPr>
          <w:p>
            <w:r>
              <w:rPr>
                <w:b/>
                <w:color w:val="FFFFFF"/>
                <w:sz w:val="20"/>
              </w:rPr>
              <w:t>Deskripsi</w:t>
            </w:r>
          </w:p>
        </w:tc>
        <w:tc>
          <w:tcPr>
            <w:tcW w:type="dxa" w:w="3118"/>
            <w:shd w:val="clear" w:color="auto" w:fill="1F497D"/>
          </w:tcPr>
          <w:p>
            <w:r>
              <w:rPr>
                <w:b/>
                <w:color w:val="FFFFFF"/>
                <w:sz w:val="20"/>
              </w:rPr>
              <w:t>Kondisi Penerapan</w:t>
            </w:r>
          </w:p>
        </w:tc>
      </w:tr>
      <w:tr>
        <w:tc>
          <w:tcPr>
            <w:tcW w:type="dxa" w:w="3118"/>
            <w:shd w:val="clear" w:color="auto" w:fill="DEEAF1"/>
          </w:tcPr>
          <w:p>
            <w:r>
              <w:rPr>
                <w:sz w:val="20"/>
              </w:rPr>
              <w:t>Mitigasi (Modify)</w:t>
            </w:r>
          </w:p>
        </w:tc>
        <w:tc>
          <w:tcPr>
            <w:tcW w:type="dxa" w:w="3118"/>
            <w:shd w:val="clear" w:color="auto" w:fill="DEEAF1"/>
          </w:tcPr>
          <w:p>
            <w:r>
              <w:rPr>
                <w:sz w:val="20"/>
              </w:rPr>
              <w:t>Menerapkan kontrol untuk mengurangi kemungkinan atau dampak risiko</w:t>
            </w:r>
          </w:p>
        </w:tc>
        <w:tc>
          <w:tcPr>
            <w:tcW w:type="dxa" w:w="3118"/>
            <w:shd w:val="clear" w:color="auto" w:fill="DEEAF1"/>
          </w:tcPr>
          <w:p>
            <w:r>
              <w:rPr>
                <w:sz w:val="20"/>
              </w:rPr>
              <w:t>Risiko tinggi-sedang yang dapat dikendalikan secara teknis/prosedural</w:t>
            </w:r>
          </w:p>
        </w:tc>
      </w:tr>
      <w:tr>
        <w:tc>
          <w:tcPr>
            <w:tcW w:type="dxa" w:w="3118"/>
          </w:tcPr>
          <w:p>
            <w:r>
              <w:rPr>
                <w:sz w:val="20"/>
              </w:rPr>
              <w:t>Transfer (Share)</w:t>
            </w:r>
          </w:p>
        </w:tc>
        <w:tc>
          <w:tcPr>
            <w:tcW w:type="dxa" w:w="3118"/>
          </w:tcPr>
          <w:p>
            <w:r>
              <w:rPr>
                <w:sz w:val="20"/>
              </w:rPr>
              <w:t>Mengalihkan risiko ke pihak lain (asuransi, outsourcing)</w:t>
            </w:r>
          </w:p>
        </w:tc>
        <w:tc>
          <w:tcPr>
            <w:tcW w:type="dxa" w:w="3118"/>
          </w:tcPr>
          <w:p>
            <w:r>
              <w:rPr>
                <w:sz w:val="20"/>
              </w:rPr>
              <w:t>Risiko dengan dampak finansial besar dan dapat diasuransikan</w:t>
            </w:r>
          </w:p>
        </w:tc>
      </w:tr>
      <w:tr>
        <w:tc>
          <w:tcPr>
            <w:tcW w:type="dxa" w:w="3118"/>
            <w:shd w:val="clear" w:color="auto" w:fill="DEEAF1"/>
          </w:tcPr>
          <w:p>
            <w:r>
              <w:rPr>
                <w:sz w:val="20"/>
              </w:rPr>
              <w:t>Penerimaan (Retain)</w:t>
            </w:r>
          </w:p>
        </w:tc>
        <w:tc>
          <w:tcPr>
            <w:tcW w:type="dxa" w:w="3118"/>
            <w:shd w:val="clear" w:color="auto" w:fill="DEEAF1"/>
          </w:tcPr>
          <w:p>
            <w:r>
              <w:rPr>
                <w:sz w:val="20"/>
              </w:rPr>
              <w:t>Menerima risiko tanpa tindakan lebih lanjut</w:t>
            </w:r>
          </w:p>
        </w:tc>
        <w:tc>
          <w:tcPr>
            <w:tcW w:type="dxa" w:w="3118"/>
            <w:shd w:val="clear" w:color="auto" w:fill="DEEAF1"/>
          </w:tcPr>
          <w:p>
            <w:r>
              <w:rPr>
                <w:sz w:val="20"/>
              </w:rPr>
              <w:t>Risiko rendah atau biaya mitigasi melebihi dampak risiko</w:t>
            </w:r>
          </w:p>
        </w:tc>
      </w:tr>
      <w:tr>
        <w:tc>
          <w:tcPr>
            <w:tcW w:type="dxa" w:w="3118"/>
          </w:tcPr>
          <w:p>
            <w:r>
              <w:rPr>
                <w:sz w:val="20"/>
              </w:rPr>
              <w:t>Penghindaran (Avoid)</w:t>
            </w:r>
          </w:p>
        </w:tc>
        <w:tc>
          <w:tcPr>
            <w:tcW w:type="dxa" w:w="3118"/>
          </w:tcPr>
          <w:p>
            <w:r>
              <w:rPr>
                <w:sz w:val="20"/>
              </w:rPr>
              <w:t>Menghentikan aktivitas yang menghasilkan risiko</w:t>
            </w:r>
          </w:p>
        </w:tc>
        <w:tc>
          <w:tcPr>
            <w:tcW w:type="dxa" w:w="3118"/>
          </w:tcPr>
          <w:p>
            <w:r>
              <w:rPr>
                <w:sz w:val="20"/>
              </w:rPr>
              <w:t>Risiko yang tidak dapat diterima dan tidak dapat dimitigasi</w:t>
            </w:r>
          </w:p>
        </w:tc>
      </w:tr>
    </w:tbl>
    <w:p/>
    <w:p>
      <w:pPr>
        <w:spacing w:before="280" w:after="120"/>
        <w:pBdr>
          <w:bottom w:val="single" w:sz="6" w:color="1F497D"/>
        </w:pBdr>
      </w:pPr>
      <w:r>
        <w:rPr>
          <w:b/>
          <w:color w:val="1F497D"/>
          <w:sz w:val="28"/>
        </w:rPr>
        <w:t>9. KEPATUHAN DAN AUDIT</w:t>
      </w:r>
    </w:p>
    <w:p>
      <w:pPr>
        <w:spacing w:before="40" w:after="80"/>
      </w:pPr>
      <w:r>
        <w:rPr>
          <w:sz w:val="22"/>
        </w:rPr>
        <w:t>PT Equity Life Indonesia berkomitmen untuk memastikan kepatuhan penuh terhadap seluruh persyaratan hukum, regulasi, dan kontraktual yang berkaitan dengan keamanan informasi.</w:t>
      </w:r>
    </w:p>
    <w:p>
      <w:pPr>
        <w:pStyle w:val="ListBullet"/>
        <w:spacing w:before="40" w:after="40"/>
        <w:ind w:left="567"/>
      </w:pPr>
      <w:r>
        <w:rPr>
          <w:sz w:val="22"/>
        </w:rPr>
        <w:t>Audit internal ISMS dilakukan minimal setahun sekali oleh auditor yang kompeten dan independen dari unit yang diaudit.</w:t>
      </w:r>
    </w:p>
    <w:p>
      <w:pPr>
        <w:pStyle w:val="ListBullet"/>
        <w:spacing w:before="40" w:after="40"/>
        <w:ind w:left="567"/>
      </w:pPr>
      <w:r>
        <w:rPr>
          <w:sz w:val="22"/>
        </w:rPr>
        <w:t>Audit eksternal (surveillance audit dan certification audit) dilakukan oleh lembaga sertifikasi yang terakreditasi.</w:t>
      </w:r>
    </w:p>
    <w:p>
      <w:pPr>
        <w:pStyle w:val="ListBullet"/>
        <w:spacing w:before="40" w:after="40"/>
        <w:ind w:left="567"/>
      </w:pPr>
      <w:r>
        <w:rPr>
          <w:sz w:val="22"/>
        </w:rPr>
        <w:t>Temuan audit harus ditindaklanjuti sesuai dengan tingkat keparahan dan batas waktu yang disepakati.</w:t>
      </w:r>
    </w:p>
    <w:p>
      <w:pPr>
        <w:pStyle w:val="ListBullet"/>
        <w:spacing w:before="40" w:after="40"/>
        <w:ind w:left="567"/>
      </w:pPr>
      <w:r>
        <w:rPr>
          <w:sz w:val="22"/>
        </w:rPr>
        <w:t>Pelanggaran kebijakan keamanan informasi harus dilaporkan, diselidiki, dan ditindaklanjuti.</w:t>
      </w:r>
    </w:p>
    <w:p>
      <w:pPr>
        <w:pStyle w:val="ListBullet"/>
        <w:spacing w:before="40" w:after="40"/>
        <w:ind w:left="567"/>
      </w:pPr>
      <w:r>
        <w:rPr>
          <w:sz w:val="22"/>
        </w:rPr>
        <w:t>Laporan kepatuhan disampaikan kepada Direksi dan Komite Audit secara berkala.</w:t>
      </w:r>
    </w:p>
    <w:p/>
    <w:p>
      <w:pPr>
        <w:spacing w:before="280" w:after="120"/>
        <w:pBdr>
          <w:bottom w:val="single" w:sz="6" w:color="1F497D"/>
        </w:pBdr>
      </w:pPr>
      <w:r>
        <w:rPr>
          <w:b/>
          <w:color w:val="1F497D"/>
          <w:sz w:val="28"/>
        </w:rPr>
        <w:t>10. PELATIHAN DAN KESADARAN KEAMANAN INFORMASI</w:t>
      </w:r>
    </w:p>
    <w:p>
      <w:pPr>
        <w:spacing w:before="40" w:after="80"/>
      </w:pPr>
      <w:r>
        <w:rPr>
          <w:sz w:val="22"/>
        </w:rPr>
        <w:t>Program kesadaran dan pelatihan keamanan informasi merupakan komponen kritis dalam membangun budaya keamanan di PT Equity Life Indonesia.</w:t>
      </w:r>
    </w:p>
    <w:p>
      <w:pPr>
        <w:pStyle w:val="ListBullet"/>
        <w:spacing w:before="40" w:after="40"/>
        <w:ind w:left="567"/>
      </w:pPr>
      <w:r>
        <w:rPr>
          <w:sz w:val="22"/>
        </w:rPr>
        <w:t>Seluruh karyawan baru wajib mengikuti pelatihan orientasi keamanan informasi dalam 30 hari pertama bekerja.</w:t>
      </w:r>
    </w:p>
    <w:p>
      <w:pPr>
        <w:pStyle w:val="ListBullet"/>
        <w:spacing w:before="40" w:after="40"/>
        <w:ind w:left="567"/>
      </w:pPr>
      <w:r>
        <w:rPr>
          <w:sz w:val="22"/>
        </w:rPr>
        <w:t>Seluruh karyawan wajib mengikuti pelatihan keamanan informasi tahunan dan lulus uji kompetensi.</w:t>
      </w:r>
    </w:p>
    <w:p>
      <w:pPr>
        <w:pStyle w:val="ListBullet"/>
        <w:spacing w:before="40" w:after="40"/>
        <w:ind w:left="567"/>
      </w:pPr>
      <w:r>
        <w:rPr>
          <w:sz w:val="22"/>
        </w:rPr>
        <w:t>Pelatihan khusus wajib diberikan kepada personel dengan peran kritis dalam keamanan informasi (IT, CISO, Risk Management).</w:t>
      </w:r>
    </w:p>
    <w:p>
      <w:pPr>
        <w:pStyle w:val="ListBullet"/>
        <w:spacing w:before="40" w:after="40"/>
        <w:ind w:left="567"/>
      </w:pPr>
      <w:r>
        <w:rPr>
          <w:sz w:val="22"/>
        </w:rPr>
        <w:t>Simulasi phishing dan social engineering dilakukan secara berkala untuk mengukur dan meningkatkan kewaspadaan karyawan.</w:t>
      </w:r>
    </w:p>
    <w:p>
      <w:pPr>
        <w:pStyle w:val="ListBullet"/>
        <w:spacing w:before="40" w:after="40"/>
        <w:ind w:left="567"/>
      </w:pPr>
      <w:r>
        <w:rPr>
          <w:sz w:val="22"/>
        </w:rPr>
        <w:t>Materi kesadaran keamanan informasi disebarkan secara rutin melalui email, intranet, dan media komunikasi internal lainnya.</w:t>
      </w:r>
    </w:p>
    <w:p>
      <w:pPr>
        <w:pStyle w:val="ListBullet"/>
        <w:spacing w:before="40" w:after="40"/>
        <w:ind w:left="567"/>
      </w:pPr>
      <w:r>
        <w:rPr>
          <w:sz w:val="22"/>
        </w:rPr>
        <w:t>Efektivitas program pelatihan dievaluasi dan dilaporkan kepada manajemen setiap tahun.</w:t>
      </w:r>
    </w:p>
    <w:p/>
    <w:p>
      <w:pPr>
        <w:spacing w:before="280" w:after="120"/>
        <w:pBdr>
          <w:bottom w:val="single" w:sz="6" w:color="1F497D"/>
        </w:pBdr>
      </w:pPr>
      <w:r>
        <w:rPr>
          <w:b/>
          <w:color w:val="1F497D"/>
          <w:sz w:val="28"/>
        </w:rPr>
        <w:t>11. PENANGANAN INSIDEN KEAMANAN INFORMASI</w:t>
      </w:r>
    </w:p>
    <w:p>
      <w:pPr>
        <w:spacing w:before="40" w:after="80"/>
      </w:pPr>
      <w:r>
        <w:rPr>
          <w:sz w:val="22"/>
        </w:rPr>
        <w:t>PT Equity Life Indonesia memiliki prosedur terstruktur untuk mendeteksi, melaporkan, menangani, dan belajar dari insiden keamanan informasi.</w:t>
      </w:r>
    </w:p>
    <w:p>
      <w:pPr>
        <w:spacing w:before="200" w:after="120"/>
      </w:pPr>
      <w:r>
        <w:rPr>
          <w:b/>
          <w:color w:val="2E74B5"/>
          <w:sz w:val="24"/>
        </w:rPr>
        <w:t>11.1 Klasifikasi Insiden</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20"/>
              </w:rPr>
              <w:t>Tingkat Insiden</w:t>
            </w:r>
          </w:p>
        </w:tc>
        <w:tc>
          <w:tcPr>
            <w:tcW w:type="dxa" w:w="3118"/>
            <w:shd w:val="clear" w:color="auto" w:fill="1F497D"/>
          </w:tcPr>
          <w:p>
            <w:r>
              <w:rPr>
                <w:b/>
                <w:color w:val="FFFFFF"/>
                <w:sz w:val="20"/>
              </w:rPr>
              <w:t>Deskripsi</w:t>
            </w:r>
          </w:p>
        </w:tc>
        <w:tc>
          <w:tcPr>
            <w:tcW w:type="dxa" w:w="3118"/>
            <w:shd w:val="clear" w:color="auto" w:fill="1F497D"/>
          </w:tcPr>
          <w:p>
            <w:r>
              <w:rPr>
                <w:b/>
                <w:color w:val="FFFFFF"/>
                <w:sz w:val="20"/>
              </w:rPr>
              <w:t>Waktu Respons Target</w:t>
            </w:r>
          </w:p>
        </w:tc>
      </w:tr>
      <w:tr>
        <w:tc>
          <w:tcPr>
            <w:tcW w:type="dxa" w:w="3118"/>
            <w:shd w:val="clear" w:color="auto" w:fill="DEEAF1"/>
          </w:tcPr>
          <w:p>
            <w:r>
              <w:rPr>
                <w:sz w:val="20"/>
              </w:rPr>
              <w:t>KRITIS (P1)</w:t>
            </w:r>
          </w:p>
        </w:tc>
        <w:tc>
          <w:tcPr>
            <w:tcW w:type="dxa" w:w="3118"/>
            <w:shd w:val="clear" w:color="auto" w:fill="DEEAF1"/>
          </w:tcPr>
          <w:p>
            <w:r>
              <w:rPr>
                <w:sz w:val="20"/>
              </w:rPr>
              <w:t>Insiden yang secara langsung mengancam kelangsungan bisnis, kebocoran data massal, atau serangan siber aktif</w:t>
            </w:r>
          </w:p>
        </w:tc>
        <w:tc>
          <w:tcPr>
            <w:tcW w:type="dxa" w:w="3118"/>
            <w:shd w:val="clear" w:color="auto" w:fill="DEEAF1"/>
          </w:tcPr>
          <w:p>
            <w:r>
              <w:rPr>
                <w:sz w:val="20"/>
              </w:rPr>
              <w:t>Segera – dalam 1 jam</w:t>
            </w:r>
          </w:p>
        </w:tc>
      </w:tr>
      <w:tr>
        <w:tc>
          <w:tcPr>
            <w:tcW w:type="dxa" w:w="3118"/>
          </w:tcPr>
          <w:p>
            <w:r>
              <w:rPr>
                <w:sz w:val="20"/>
              </w:rPr>
              <w:t>TINGGI (P2)</w:t>
            </w:r>
          </w:p>
        </w:tc>
        <w:tc>
          <w:tcPr>
            <w:tcW w:type="dxa" w:w="3118"/>
          </w:tcPr>
          <w:p>
            <w:r>
              <w:rPr>
                <w:sz w:val="20"/>
              </w:rPr>
              <w:t>Insiden berdampak signifikan pada operasional atau mengancam data sensitif</w:t>
            </w:r>
          </w:p>
        </w:tc>
        <w:tc>
          <w:tcPr>
            <w:tcW w:type="dxa" w:w="3118"/>
          </w:tcPr>
          <w:p>
            <w:r>
              <w:rPr>
                <w:sz w:val="20"/>
              </w:rPr>
              <w:t>Dalam 4 jam</w:t>
            </w:r>
          </w:p>
        </w:tc>
      </w:tr>
      <w:tr>
        <w:tc>
          <w:tcPr>
            <w:tcW w:type="dxa" w:w="3118"/>
            <w:shd w:val="clear" w:color="auto" w:fill="DEEAF1"/>
          </w:tcPr>
          <w:p>
            <w:r>
              <w:rPr>
                <w:sz w:val="20"/>
              </w:rPr>
              <w:t>SEDANG (P3)</w:t>
            </w:r>
          </w:p>
        </w:tc>
        <w:tc>
          <w:tcPr>
            <w:tcW w:type="dxa" w:w="3118"/>
            <w:shd w:val="clear" w:color="auto" w:fill="DEEAF1"/>
          </w:tcPr>
          <w:p>
            <w:r>
              <w:rPr>
                <w:sz w:val="20"/>
              </w:rPr>
              <w:t>Insiden dengan dampak terbatas dan dapat diselesaikan tanpa gangguan besar</w:t>
            </w:r>
          </w:p>
        </w:tc>
        <w:tc>
          <w:tcPr>
            <w:tcW w:type="dxa" w:w="3118"/>
            <w:shd w:val="clear" w:color="auto" w:fill="DEEAF1"/>
          </w:tcPr>
          <w:p>
            <w:r>
              <w:rPr>
                <w:sz w:val="20"/>
              </w:rPr>
              <w:t>Dalam 24 jam</w:t>
            </w:r>
          </w:p>
        </w:tc>
      </w:tr>
    </w:tbl>
    <w:p>
      <w:pPr>
        <w:spacing w:before="200" w:after="120"/>
      </w:pPr>
      <w:r>
        <w:rPr>
          <w:b/>
          <w:color w:val="2E74B5"/>
          <w:sz w:val="24"/>
        </w:rPr>
        <w:t>11.2 Kewajiban Pelaporan</w:t>
      </w:r>
    </w:p>
    <w:p>
      <w:pPr>
        <w:spacing w:before="40" w:after="80"/>
      </w:pPr>
      <w:r>
        <w:rPr>
          <w:sz w:val="22"/>
        </w:rPr>
        <w:t>Seluruh karyawan wajib melaporkan insiden atau potensi insiden keamanan informasi kepada:</w:t>
      </w:r>
    </w:p>
    <w:p>
      <w:pPr>
        <w:pStyle w:val="ListBullet"/>
        <w:spacing w:before="40" w:after="40"/>
        <w:ind w:left="567"/>
      </w:pPr>
      <w:r>
        <w:rPr>
          <w:sz w:val="22"/>
        </w:rPr>
        <w:t>Help Desk IT / Security Operation Center (SOC) – untuk pelaporan teknis.</w:t>
      </w:r>
    </w:p>
    <w:p>
      <w:pPr>
        <w:pStyle w:val="ListBullet"/>
        <w:spacing w:before="40" w:after="40"/>
        <w:ind w:left="567"/>
      </w:pPr>
      <w:r>
        <w:rPr>
          <w:sz w:val="22"/>
        </w:rPr>
        <w:t>Atasan langsung – untuk eskalasi dan koordinasi operasional.</w:t>
      </w:r>
    </w:p>
    <w:p>
      <w:pPr>
        <w:pStyle w:val="ListBullet"/>
        <w:spacing w:before="40" w:after="40"/>
        <w:ind w:left="567"/>
      </w:pPr>
      <w:r>
        <w:rPr>
          <w:sz w:val="22"/>
        </w:rPr>
        <w:t>CISO – untuk insiden dengan kategori Kritis (P1) atau Tinggi (P2).</w:t>
      </w:r>
    </w:p>
    <w:p>
      <w:pPr>
        <w:spacing w:before="40" w:after="80"/>
      </w:pPr>
      <w:r>
        <w:rPr>
          <w:sz w:val="22"/>
        </w:rPr>
        <w:t>Pelaporan kepada OJK dilakukan sesuai ketentuan regulasi yang berlaku, tidak lebih dari 14 hari kerja setelah insiden terdeteksi (untuk insiden yang memenuhi ambang batas pelaporan).</w:t>
      </w:r>
    </w:p>
    <w:p/>
    <w:p>
      <w:pPr>
        <w:spacing w:before="280" w:after="120"/>
        <w:pBdr>
          <w:bottom w:val="single" w:sz="6" w:color="1F497D"/>
        </w:pBdr>
      </w:pPr>
      <w:r>
        <w:rPr>
          <w:b/>
          <w:color w:val="1F497D"/>
          <w:sz w:val="28"/>
        </w:rPr>
        <w:t>12. KEBERLANJUTAN BISNIS</w:t>
      </w:r>
    </w:p>
    <w:p>
      <w:pPr>
        <w:spacing w:before="40" w:after="80"/>
      </w:pPr>
      <w:r>
        <w:rPr>
          <w:sz w:val="22"/>
        </w:rPr>
        <w:t>Keamanan informasi merupakan bagian integral dari perencanaan keberlanjutan bisnis (Business Continuity Planning/BCP) dan pemulihan bencana (Disaster Recovery) PT Equity Life Indonesia.</w:t>
      </w:r>
    </w:p>
    <w:p>
      <w:pPr>
        <w:pStyle w:val="ListBullet"/>
        <w:spacing w:before="40" w:after="40"/>
        <w:ind w:left="567"/>
      </w:pPr>
      <w:r>
        <w:rPr>
          <w:sz w:val="22"/>
        </w:rPr>
        <w:t>Recovery Time Objective (RTO) dan Recovery Point Objective (RPO) ditetapkan untuk setiap sistem kritis dan ditinjau tahunan.</w:t>
      </w:r>
    </w:p>
    <w:p>
      <w:pPr>
        <w:pStyle w:val="ListBullet"/>
        <w:spacing w:before="40" w:after="40"/>
        <w:ind w:left="567"/>
      </w:pPr>
      <w:r>
        <w:rPr>
          <w:sz w:val="22"/>
        </w:rPr>
        <w:t>Uji coba pemulihan bencana (Disaster Recovery Test/DRT) dilakukan minimal setahun sekali.</w:t>
      </w:r>
    </w:p>
    <w:p>
      <w:pPr>
        <w:pStyle w:val="ListBullet"/>
        <w:spacing w:before="40" w:after="40"/>
        <w:ind w:left="567"/>
      </w:pPr>
      <w:r>
        <w:rPr>
          <w:sz w:val="22"/>
        </w:rPr>
        <w:t>Backup data dilakukan secara otomatis dan teratur; integritas backup diverifikasi secara berkala.</w:t>
      </w:r>
    </w:p>
    <w:p>
      <w:pPr>
        <w:pStyle w:val="ListBullet"/>
        <w:spacing w:before="40" w:after="40"/>
        <w:ind w:left="567"/>
      </w:pPr>
      <w:r>
        <w:rPr>
          <w:sz w:val="22"/>
        </w:rPr>
        <w:t>Rencana keberlanjutan bisnis yang mencakup aspek keamanan informasi didokumentasikan, dikomunikasikan, dan dipelihara.</w:t>
      </w:r>
    </w:p>
    <w:p/>
    <w:p>
      <w:pPr>
        <w:spacing w:before="280" w:after="120"/>
        <w:pBdr>
          <w:bottom w:val="single" w:sz="6" w:color="1F497D"/>
        </w:pBdr>
      </w:pPr>
      <w:r>
        <w:rPr>
          <w:b/>
          <w:color w:val="1F497D"/>
          <w:sz w:val="28"/>
        </w:rPr>
        <w:t>13. TINJAUAN DAN PEMBARUAN KEBIJAKAN</w:t>
      </w:r>
    </w:p>
    <w:p>
      <w:pPr>
        <w:pStyle w:val="ListBullet"/>
        <w:spacing w:before="40" w:after="40"/>
        <w:ind w:left="567"/>
      </w:pPr>
      <w:r>
        <w:rPr>
          <w:sz w:val="22"/>
        </w:rPr>
        <w:t>Kebijakan ini ditinjau secara berkala minimal setahun sekali atau jika terjadi perubahan signifikan pada lingkungan bisnis, ancaman, regulasi, atau teknologi.</w:t>
      </w:r>
    </w:p>
    <w:p>
      <w:pPr>
        <w:pStyle w:val="ListBullet"/>
        <w:spacing w:before="40" w:after="40"/>
        <w:ind w:left="567"/>
      </w:pPr>
      <w:r>
        <w:rPr>
          <w:sz w:val="22"/>
        </w:rPr>
        <w:t>Tinjauan dilakukan oleh CISO dengan melibatkan pemangku kepentingan terkait.</w:t>
      </w:r>
    </w:p>
    <w:p>
      <w:pPr>
        <w:pStyle w:val="ListBullet"/>
        <w:spacing w:before="40" w:after="40"/>
        <w:ind w:left="567"/>
      </w:pPr>
      <w:r>
        <w:rPr>
          <w:sz w:val="22"/>
        </w:rPr>
        <w:t>Setiap perubahan pada kebijakan ini memerlukan persetujuan Direktur Utama.</w:t>
      </w:r>
    </w:p>
    <w:p>
      <w:pPr>
        <w:pStyle w:val="ListBullet"/>
        <w:spacing w:before="40" w:after="40"/>
        <w:ind w:left="567"/>
      </w:pPr>
      <w:r>
        <w:rPr>
          <w:sz w:val="22"/>
        </w:rPr>
        <w:t>Versi terbaru kebijakan ini harus tersedia dan mudah diakses oleh seluruh karyawan melalui sistem manajemen dokumen internal.</w:t>
      </w:r>
    </w:p>
    <w:p/>
    <w:p>
      <w:pPr>
        <w:spacing w:before="280" w:after="120"/>
        <w:pBdr>
          <w:bottom w:val="single" w:sz="6" w:color="1F497D"/>
        </w:pBdr>
      </w:pPr>
      <w:r>
        <w:rPr>
          <w:b/>
          <w:color w:val="1F497D"/>
          <w:sz w:val="28"/>
        </w:rPr>
        <w:t>14. SANKSI DAN PENEGAKAN</w:t>
      </w:r>
    </w:p>
    <w:p>
      <w:pPr>
        <w:spacing w:before="40" w:after="80"/>
      </w:pPr>
      <w:r>
        <w:rPr>
          <w:sz w:val="22"/>
        </w:rPr>
        <w:t>Pelanggaran terhadap kebijakan ini akan mengakibatkan tindakan disipliner yang proporsional sesuai dengan tingkat keparahan pelanggaran, sebagaimana diatur dalam Peraturan Perusahaan dan Perjanjian Kerja Bersama, termasuk namun tidak terbatas pada:</w:t>
      </w:r>
    </w:p>
    <w:p>
      <w:pPr>
        <w:pStyle w:val="ListBullet"/>
        <w:spacing w:before="40" w:after="40"/>
        <w:ind w:left="567"/>
      </w:pPr>
      <w:r>
        <w:rPr>
          <w:sz w:val="22"/>
        </w:rPr>
        <w:t>Peringatan lisan atau tertulis.</w:t>
      </w:r>
    </w:p>
    <w:p>
      <w:pPr>
        <w:pStyle w:val="ListBullet"/>
        <w:spacing w:before="40" w:after="40"/>
        <w:ind w:left="567"/>
      </w:pPr>
      <w:r>
        <w:rPr>
          <w:sz w:val="22"/>
        </w:rPr>
        <w:t>Penangguhan sementara hak akses ke sistem dan informasi perusahaan.</w:t>
      </w:r>
    </w:p>
    <w:p>
      <w:pPr>
        <w:pStyle w:val="ListBullet"/>
        <w:spacing w:before="40" w:after="40"/>
        <w:ind w:left="567"/>
      </w:pPr>
      <w:r>
        <w:rPr>
          <w:sz w:val="22"/>
        </w:rPr>
        <w:t>Penugasan ulang atau penurunan jabatan.</w:t>
      </w:r>
    </w:p>
    <w:p>
      <w:pPr>
        <w:pStyle w:val="ListBullet"/>
        <w:spacing w:before="40" w:after="40"/>
        <w:ind w:left="567"/>
      </w:pPr>
      <w:r>
        <w:rPr>
          <w:sz w:val="22"/>
        </w:rPr>
        <w:t>Pemutusan hubungan kerja.</w:t>
      </w:r>
    </w:p>
    <w:p>
      <w:pPr>
        <w:pStyle w:val="ListBullet"/>
        <w:spacing w:before="40" w:after="40"/>
        <w:ind w:left="567"/>
      </w:pPr>
      <w:r>
        <w:rPr>
          <w:sz w:val="22"/>
        </w:rPr>
        <w:t>Tindakan hukum berdasarkan peraturan perundang-undangan yang berlaku.</w:t>
      </w:r>
    </w:p>
    <w:p>
      <w:pPr>
        <w:spacing w:before="40" w:after="80"/>
      </w:pPr>
      <w:r>
        <w:rPr>
          <w:sz w:val="22"/>
        </w:rPr>
        <w:t>Dalam hal pelanggaran dilakukan oleh pihak ketiga (vendor, mitra, konsultan), tindakan yang diambil dapat mencakup pemutusan kontrak dan tuntutan hukum sesuai dengan ketentuan dalam perjanjian yang berlaku.</w:t>
      </w:r>
    </w:p>
    <w:sectPr w:rsidR="00FC693F" w:rsidRPr="0006063C" w:rsidSect="00034616">
      <w:headerReference w:type="default" r:id="rId9"/>
      <w:footerReference w:type="default" r:id="rId10"/>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Bdr>
        <w:top w:val="single" w:sz="4" w:color="1F497D"/>
      </w:pBdr>
    </w:pPr>
    <w:r>
      <w:rPr>
        <w:color w:val="808080"/>
        <w:sz w:val="16"/>
      </w:rPr>
      <w:t>PT Equity Life Indonesia  |  Kebijakan Sistem Manajemen Keamanan Informasi  |  Versi 1.0  |  Februari 2026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tcPr>
        <w:p>
          <w:pPr>
            <w:jc w:val="left"/>
          </w:pPr>
          <w:r>
            <w:rPr>
              <w:b/>
              <w:color w:val="FFFFFF"/>
              <w:sz w:val="16"/>
            </w:rPr>
            <w:t>PT Equity Life Indonesia</w:t>
          </w:r>
        </w:p>
      </w:tc>
      <w:tc>
        <w:tcPr>
          <w:tcW w:type="dxa" w:w="3024"/>
        </w:tcPr>
        <w:p>
          <w:pPr>
            <w:jc w:val="center"/>
          </w:pPr>
          <w:r>
            <w:rPr>
              <w:color w:val="1F497D"/>
              <w:sz w:val="16"/>
            </w:rPr>
            <w:t>Kebijakan Sistem Manajemen Keamanan Informasi</w:t>
          </w:r>
        </w:p>
      </w:tc>
      <w:tc>
        <w:tcPr>
          <w:tcW w:type="dxa" w:w="3024"/>
        </w:tcPr>
        <w:p>
          <w:pPr>
            <w:jc w:val="right"/>
          </w:pPr>
          <w:r>
            <w:rPr>
              <w:color w:val="1F497D"/>
              <w:sz w:val="16"/>
            </w:rPr>
            <w:t>No: ISMS-POL-001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