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sz w:val="4"/>
          <w:szCs w:val="4"/>
        </w:rPr>
        <w:t xml:space="preserve"> </w:t>
      </w:r>
    </w:p>
    <w:p>
      <w:pPr>
        <w:spacing w:after="200" w:before="800"/>
      </w:pPr>
      <w:r>
        <w:t xml:space="preserve"/>
      </w:r>
    </w:p>
    <w:p>
      <w:pPr>
        <w:jc w:val="center"/>
      </w:pPr>
      <w:r>
        <w:rPr>
          <w:rFonts w:ascii="Arial" w:cs="Arial" w:eastAsia="Arial" w:hAnsi="Arial"/>
          <w:b/>
          <w:bCs/>
          <w:color w:val="1B3A6B"/>
          <w:sz w:val="36"/>
          <w:szCs w:val="36"/>
        </w:rPr>
        <w:t xml:space="preserve">PT EQUITY LIFE INDONESIA</w:t>
      </w:r>
    </w:p>
    <w:p>
      <w:pPr>
        <w:jc w:val="center"/>
      </w:pPr>
      <w:r>
        <w:rPr>
          <w:rFonts w:ascii="Arial" w:cs="Arial" w:eastAsia="Arial" w:hAnsi="Arial"/>
          <w:b w:val="false"/>
          <w:bCs w:val="false"/>
          <w:color w:val="2563A8"/>
          <w:sz w:val="24"/>
          <w:szCs w:val="24"/>
        </w:rPr>
        <w:t xml:space="preserve">Sistem Manajemen Keamanan Informasi</w:t>
      </w:r>
    </w:p>
    <w:p>
      <w:pPr>
        <w:spacing w:after="200" w:before="300"/>
      </w:pPr>
      <w:r>
        <w:t xml:space="preserve"/>
      </w:r>
    </w:p>
    <w:p>
      <w:pPr>
        <w:jc w:val="center"/>
      </w:pPr>
      <w:r>
        <w:rPr>
          <w:rFonts w:ascii="Arial" w:cs="Arial" w:eastAsia="Arial" w:hAnsi="Arial"/>
          <w:color w:val="D6E4F7"/>
          <w:sz w:val="20"/>
          <w:szCs w:val="20"/>
        </w:rPr>
        <w:t xml:space="preserve">─────────────────────────────────────────</w:t>
      </w:r>
    </w:p>
    <w:p>
      <w:pPr>
        <w:spacing w:after="200" w:before="200"/>
      </w:pPr>
      <w:r>
        <w:t xml:space="preserve"/>
      </w:r>
    </w:p>
    <w:p>
      <w:pPr>
        <w:jc w:val="center"/>
      </w:pPr>
      <w:r>
        <w:rPr>
          <w:rFonts w:ascii="Arial" w:cs="Arial" w:eastAsia="Arial" w:hAnsi="Arial"/>
          <w:b/>
          <w:bCs/>
          <w:color w:val="1B3A6B"/>
          <w:sz w:val="38"/>
          <w:szCs w:val="38"/>
        </w:rPr>
        <w:t xml:space="preserve">Kebijakan Tanggung Jawab Manajemen Keamanan Informasi</w:t>
      </w:r>
    </w:p>
    <w:p>
      <w:pPr>
        <w:spacing w:after="30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Nomor Dokumen</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sz w:val="20"/>
                <w:szCs w:val="20"/>
              </w:rPr>
              <w:t xml:space="preserve">ISMS-POL-MR-001</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Versi</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sz w:val="20"/>
                <w:szCs w:val="20"/>
              </w:rPr>
              <w:t xml:space="preserve">1.0</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Tanggal Efektif</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sz w:val="20"/>
                <w:szCs w:val="20"/>
              </w:rPr>
              <w:t xml:space="preserve">16 Maret 2026</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Klasifikasi</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b/>
                <w:bCs/>
                <w:color w:val="C0392B"/>
                <w:sz w:val="20"/>
                <w:szCs w:val="20"/>
              </w:rPr>
              <w:t xml:space="preserve">INTERNAL</w:t>
            </w:r>
          </w:p>
        </w:tc>
      </w:tr>
      <w:tr>
        <w:tc>
          <w:tcPr>
            <w:tcBorders>
              <w:top w:val="single" w:color="2563A8" w:sz="4"/>
              <w:left w:val="single" w:color="2563A8" w:sz="4"/>
              <w:bottom w:val="single" w:color="2563A8" w:sz="4"/>
              <w:right w:val="single" w:color="2563A8" w:sz="4"/>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Referensi ISO</w:t>
            </w:r>
          </w:p>
        </w:tc>
        <w:tc>
          <w:tcPr>
            <w:tcBorders>
              <w:top w:val="single" w:color="2563A8" w:sz="4"/>
              <w:left w:val="single" w:color="2563A8" w:sz="4"/>
              <w:bottom w:val="single" w:color="2563A8" w:sz="4"/>
              <w:right w:val="single" w:color="2563A8" w:sz="4"/>
            </w:tcBorders>
            <w:shd w:fill="F2F4F7" w:val="clear"/>
            <w:tcMar>
              <w:top w:type="dxa" w:w="80"/>
              <w:left w:type="dxa" w:w="140"/>
              <w:bottom w:type="dxa" w:w="80"/>
              <w:right w:type="dxa" w:w="140"/>
            </w:tcMar>
          </w:tcPr>
          <w:p>
            <w:r>
              <w:rPr>
                <w:rFonts w:ascii="Arial" w:cs="Arial" w:eastAsia="Arial" w:hAnsi="Arial"/>
                <w:sz w:val="20"/>
                <w:szCs w:val="20"/>
              </w:rPr>
              <w:t xml:space="preserve">ISO 27001:2022 Klausul 5 (Leadership) &amp; Annex A</w:t>
            </w:r>
          </w:p>
        </w:tc>
      </w:tr>
    </w:tbl>
    <w:p>
      <w:pPr>
        <w:spacing w:after="200" w:before="400"/>
      </w:pPr>
      <w:r>
        <w:t xml:space="preserve"/>
      </w:r>
    </w:p>
    <w:p>
      <w:pPr>
        <w:jc w:val="center"/>
      </w:pPr>
      <w:r>
        <w:rPr>
          <w:rFonts w:ascii="Arial" w:cs="Arial" w:eastAsia="Arial" w:hAnsi="Arial"/>
          <w:color w:val="D6E4F7"/>
          <w:sz w:val="20"/>
          <w:szCs w:val="20"/>
        </w:rPr>
        <w:t xml:space="preserve">─────────────────────────────────────────</w:t>
      </w:r>
    </w:p>
    <w:p>
      <w:pPr>
        <w:spacing w:after="200" w:before="200"/>
      </w:pPr>
      <w:r>
        <w:t xml:space="preserve"/>
      </w:r>
    </w:p>
    <w:p>
      <w:pPr>
        <w:jc w:val="center"/>
      </w:pPr>
      <w:r>
        <w:rPr>
          <w:rFonts w:ascii="Arial" w:cs="Arial" w:eastAsia="Arial" w:hAnsi="Arial"/>
          <w:color w:val="B0B8C4"/>
          <w:sz w:val="18"/>
          <w:szCs w:val="18"/>
        </w:rPr>
        <w:t xml:space="preserve">Dokumen ini merupakan milik PT Equity Life Indonesia</w:t>
      </w:r>
    </w:p>
    <w:p>
      <w:pPr>
        <w:jc w:val="center"/>
      </w:pPr>
      <w:r>
        <w:rPr>
          <w:rFonts w:ascii="Arial" w:cs="Arial" w:eastAsia="Arial" w:hAnsi="Arial"/>
          <w:color w:val="B0B8C4"/>
          <w:sz w:val="18"/>
          <w:szCs w:val="18"/>
        </w:rPr>
        <w:t xml:space="preserve">Dilarang menyebarluaskan tanpa izin tertulis</w:t>
      </w:r>
    </w:p>
    <w:p>
      <w:pPr>
        <w:spacing w:after="100" w:before="600"/>
      </w:pPr>
      <w:r>
        <w:t xml:space="preserve"/>
      </w:r>
    </w:p>
    <w:p>
      <w:r>
        <w:br w:type="page"/>
      </w:r>
    </w:p>
    <w:p>
      <w:pPr>
        <w:pStyle w:val="Heading1"/>
        <w:shd w:fill="1B3A6B" w:val="clear"/>
        <w:spacing w:after="160" w:before="280"/>
        <w:ind w:left="240"/>
      </w:pPr>
      <w:r>
        <w:rPr>
          <w:rFonts w:ascii="Arial" w:cs="Arial" w:eastAsia="Arial" w:hAnsi="Arial"/>
          <w:b/>
          <w:bCs/>
          <w:color w:val="FFFFFF"/>
          <w:sz w:val="32"/>
          <w:szCs w:val="32"/>
        </w:rPr>
        <w:t xml:space="preserve">1. TUJUAN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menetapkan komitmen, tanggung jawab, dan akuntabilitas manajemen PT Equity Life Indonesia dalam mendukung, mengimplementasikan, dan memelihara Sistem Manajemen Keamanan Informasi (SMKI) sesuai dengan standar ISO/IEC 27001:2022. Kebijakan ini memastikan bahwa kepemimpinan organisasi secara aktif terlibat dalam pengelolaan risiko keamanan informasi, mengalokasikan sumber daya yang memadai, menetapkan arah strategis SMKI, dan membangun budaya keamanan informasi di seluruh jajaran organisasi.</w:t>
      </w:r>
    </w:p>
    <w:p>
      <w:pPr>
        <w:spacing w:after="80" w:before="80"/>
      </w:pPr>
      <w:r>
        <w:t xml:space="preserve"/>
      </w:r>
    </w:p>
    <w:p>
      <w:pPr>
        <w:pStyle w:val="Heading1"/>
        <w:shd w:fill="1B3A6B" w:val="clear"/>
        <w:spacing w:after="160" w:before="280"/>
        <w:ind w:left="240"/>
      </w:pPr>
      <w:r>
        <w:rPr>
          <w:rFonts w:ascii="Arial" w:cs="Arial" w:eastAsia="Arial" w:hAnsi="Arial"/>
          <w:b/>
          <w:bCs/>
          <w:color w:val="FFFFFF"/>
          <w:sz w:val="32"/>
          <w:szCs w:val="32"/>
        </w:rPr>
        <w:t xml:space="preserve">2. RUANG LINGKUP</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Kebijakan ini berlaku untuk seluruh level manajemen PT Equity Life Indonesia, mulai dari Dewan Komisaris, Direksi, Manajemen Senior, hingga pimpinan unit kerja, dalam kaitannya dengan tanggung jawab mereka terhadap SMKI. Kebijakan ini mencakup:</w:t>
      </w:r>
    </w:p>
    <w:p>
      <w:pPr>
        <w:pStyle w:val="ListParagraph"/>
        <w:numPr>
          <w:ilvl w:val="0"/>
          <w:numId w:val="2"/>
        </w:numPr>
        <w:spacing w:after="40" w:before="40"/>
      </w:pPr>
      <w:r>
        <w:rPr>
          <w:rFonts w:ascii="Arial" w:cs="Arial" w:eastAsia="Arial" w:hAnsi="Arial"/>
          <w:b w:val="false"/>
          <w:bCs w:val="false"/>
          <w:color w:val="000000"/>
          <w:sz w:val="20"/>
          <w:szCs w:val="20"/>
        </w:rPr>
        <w:t xml:space="preserve">Komitmen kepemimpinan (leadership commitment) terhadap SMKI</w:t>
      </w:r>
    </w:p>
    <w:p>
      <w:pPr>
        <w:pStyle w:val="ListParagraph"/>
        <w:numPr>
          <w:ilvl w:val="0"/>
          <w:numId w:val="2"/>
        </w:numPr>
        <w:spacing w:after="40" w:before="40"/>
      </w:pPr>
      <w:r>
        <w:rPr>
          <w:rFonts w:ascii="Arial" w:cs="Arial" w:eastAsia="Arial" w:hAnsi="Arial"/>
          <w:b w:val="false"/>
          <w:bCs w:val="false"/>
          <w:color w:val="000000"/>
          <w:sz w:val="20"/>
          <w:szCs w:val="20"/>
        </w:rPr>
        <w:t xml:space="preserve">Penetapan kebijakan keamanan informasi tingkat korporat</w:t>
      </w:r>
    </w:p>
    <w:p>
      <w:pPr>
        <w:pStyle w:val="ListParagraph"/>
        <w:numPr>
          <w:ilvl w:val="0"/>
          <w:numId w:val="2"/>
        </w:numPr>
        <w:spacing w:after="40" w:before="40"/>
      </w:pPr>
      <w:r>
        <w:rPr>
          <w:rFonts w:ascii="Arial" w:cs="Arial" w:eastAsia="Arial" w:hAnsi="Arial"/>
          <w:b w:val="false"/>
          <w:bCs w:val="false"/>
          <w:color w:val="000000"/>
          <w:sz w:val="20"/>
          <w:szCs w:val="20"/>
        </w:rPr>
        <w:t xml:space="preserve">Penetapan peran, tanggung jawab, dan wewenang dalam SMKI</w:t>
      </w:r>
    </w:p>
    <w:p>
      <w:pPr>
        <w:pStyle w:val="ListParagraph"/>
        <w:numPr>
          <w:ilvl w:val="0"/>
          <w:numId w:val="2"/>
        </w:numPr>
        <w:spacing w:after="40" w:before="40"/>
      </w:pPr>
      <w:r>
        <w:rPr>
          <w:rFonts w:ascii="Arial" w:cs="Arial" w:eastAsia="Arial" w:hAnsi="Arial"/>
          <w:b w:val="false"/>
          <w:bCs w:val="false"/>
          <w:color w:val="000000"/>
          <w:sz w:val="20"/>
          <w:szCs w:val="20"/>
        </w:rPr>
        <w:t xml:space="preserve">Alokasi sumber daya untuk SMKI</w:t>
      </w:r>
    </w:p>
    <w:p>
      <w:pPr>
        <w:pStyle w:val="ListParagraph"/>
        <w:numPr>
          <w:ilvl w:val="0"/>
          <w:numId w:val="2"/>
        </w:numPr>
        <w:spacing w:after="40" w:before="40"/>
      </w:pPr>
      <w:r>
        <w:rPr>
          <w:rFonts w:ascii="Arial" w:cs="Arial" w:eastAsia="Arial" w:hAnsi="Arial"/>
          <w:b w:val="false"/>
          <w:bCs w:val="false"/>
          <w:color w:val="000000"/>
          <w:sz w:val="20"/>
          <w:szCs w:val="20"/>
        </w:rPr>
        <w:t xml:space="preserve">Integrasi SMKI ke dalam proses bisnis perusahaan</w:t>
      </w:r>
    </w:p>
    <w:p>
      <w:pPr>
        <w:pStyle w:val="ListParagraph"/>
        <w:numPr>
          <w:ilvl w:val="0"/>
          <w:numId w:val="2"/>
        </w:numPr>
        <w:spacing w:after="40" w:before="40"/>
      </w:pPr>
      <w:r>
        <w:rPr>
          <w:rFonts w:ascii="Arial" w:cs="Arial" w:eastAsia="Arial" w:hAnsi="Arial"/>
          <w:b w:val="false"/>
          <w:bCs w:val="false"/>
          <w:color w:val="000000"/>
          <w:sz w:val="20"/>
          <w:szCs w:val="20"/>
        </w:rPr>
        <w:t xml:space="preserve">Komunikasi dan kesadaran keamanan informasi</w:t>
      </w:r>
    </w:p>
    <w:p>
      <w:pPr>
        <w:pStyle w:val="ListParagraph"/>
        <w:numPr>
          <w:ilvl w:val="0"/>
          <w:numId w:val="2"/>
        </w:numPr>
        <w:spacing w:after="40" w:before="40"/>
      </w:pPr>
      <w:r>
        <w:rPr>
          <w:rFonts w:ascii="Arial" w:cs="Arial" w:eastAsia="Arial" w:hAnsi="Arial"/>
          <w:b w:val="false"/>
          <w:bCs w:val="false"/>
          <w:color w:val="000000"/>
          <w:sz w:val="20"/>
          <w:szCs w:val="20"/>
        </w:rPr>
        <w:t xml:space="preserve">Tinjauan manajemen (management review) terhadap SMKI</w:t>
      </w:r>
    </w:p>
    <w:p>
      <w:pPr>
        <w:spacing w:after="80" w:before="80"/>
      </w:pPr>
      <w:r>
        <w:t xml:space="preserve"/>
      </w:r>
    </w:p>
    <w:p>
      <w:pPr>
        <w:pStyle w:val="Heading1"/>
        <w:shd w:fill="1B3A6B" w:val="clear"/>
        <w:spacing w:after="160" w:before="280"/>
        <w:ind w:left="240"/>
      </w:pPr>
      <w:r>
        <w:rPr>
          <w:rFonts w:ascii="Arial" w:cs="Arial" w:eastAsia="Arial" w:hAnsi="Arial"/>
          <w:b/>
          <w:bCs/>
          <w:color w:val="FFFFFF"/>
          <w:sz w:val="32"/>
          <w:szCs w:val="32"/>
        </w:rPr>
        <w:t xml:space="preserve">3. REFERENSI REGULASI DAN STANDAR</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Referensi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Keterangan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Klausul 5</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Leadership - persyaratan kepemimpinan dalam SMKI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Klausul 5.1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Leadership and commitment</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Klausul 5.2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Policy</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Klausul 5.3</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Organizational roles, responsibilities, and authorities</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27001:2022 Klausul 9.3</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Management review</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ISO/IEC 27002:2022 Klausul 5.1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Information security policies - panduan implementasi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 No. 40 Tahun 2014</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Perasuransian - kewajiban tata kelola perusahaan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POJK No. 73/POJK.05/2016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Tata Kelola Perusahaan yang Baik bagi Perusahaan Perasuransian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SEOJK No. 29/SEOJK.05/2022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Keamanan Siber Bagi Pelaku Usaha Jasa Keuangan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POJK No. 11/POJK.03/2022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Penyelenggaraan Teknologi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UU No. 27 Tahun 2022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Perlindungan Data Pribadi</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4. PERNYATAAN KOMITMEN MANAJEMEN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PT Equity Life Indonesia, melalui Direksi dan seluruh jajaran manajemen, menyatakan komitmen penuh untuk:</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8400"/>
      </w:tblGrid>
      <w:tr>
        <w:tc>
          <w:tcPr>
            <w:tcBorders>
              <w:top w:val="single" w:color="2563A8" w:sz="4"/>
              <w:left w:val="thick" w:color="1B3A6B" w:sz="18"/>
              <w:bottom w:val="single" w:color="2563A8" w:sz="4"/>
              <w:right w:val="single" w:color="2563A8" w:sz="4"/>
            </w:tcBorders>
            <w:shd w:fill="D6E4F7" w:val="clear"/>
            <w:tcMar>
              <w:top w:type="dxa" w:w="120"/>
              <w:left w:type="dxa" w:w="240"/>
              <w:bottom w:type="dxa" w:w="120"/>
              <w:right w:type="dxa" w:w="240"/>
            </w:tcMar>
          </w:tcPr>
          <w:p>
            <w:pPr>
              <w:spacing w:after="60" w:before="80"/>
            </w:pPr>
            <w:r>
              <w:rPr>
                <w:rFonts w:ascii="Arial" w:cs="Arial" w:eastAsia="Arial" w:hAnsi="Arial"/>
                <w:b/>
                <w:bCs/>
                <w:color w:val="1B3A6B"/>
                <w:sz w:val="22"/>
                <w:szCs w:val="22"/>
              </w:rPr>
              <w:t xml:space="preserve">KOMITMEN MANAJEMEN PT EQUITY LIFE INDONESIA</w:t>
            </w:r>
          </w:p>
          <w:p>
            <w:pPr>
              <w:pStyle w:val="ListParagraph"/>
              <w:numPr>
                <w:ilvl w:val="0"/>
                <w:numId w:val="3"/>
              </w:numPr>
              <w:spacing w:after="40" w:before="40"/>
            </w:pPr>
            <w:r>
              <w:rPr>
                <w:rFonts w:ascii="Arial" w:cs="Arial" w:eastAsia="Arial" w:hAnsi="Arial"/>
                <w:sz w:val="20"/>
                <w:szCs w:val="20"/>
              </w:rPr>
              <w:t xml:space="preserve">Menjadikan keamanan informasi sebagai prioritas strategis yang terintegrasi dengan tujuan bisnis perusahaan</w:t>
            </w:r>
          </w:p>
          <w:p>
            <w:pPr>
              <w:pStyle w:val="ListParagraph"/>
              <w:numPr>
                <w:ilvl w:val="0"/>
                <w:numId w:val="3"/>
              </w:numPr>
              <w:spacing w:after="40" w:before="40"/>
            </w:pPr>
            <w:r>
              <w:rPr>
                <w:rFonts w:ascii="Arial" w:cs="Arial" w:eastAsia="Arial" w:hAnsi="Arial"/>
                <w:sz w:val="20"/>
                <w:szCs w:val="20"/>
              </w:rPr>
              <w:t xml:space="preserve">Memastikan SMKI selaras dengan konteks organisasi dan kebutuhan pemangku kepentingan</w:t>
            </w:r>
          </w:p>
          <w:p>
            <w:pPr>
              <w:pStyle w:val="ListParagraph"/>
              <w:numPr>
                <w:ilvl w:val="0"/>
                <w:numId w:val="3"/>
              </w:numPr>
              <w:spacing w:after="40" w:before="40"/>
            </w:pPr>
            <w:r>
              <w:rPr>
                <w:rFonts w:ascii="Arial" w:cs="Arial" w:eastAsia="Arial" w:hAnsi="Arial"/>
                <w:sz w:val="20"/>
                <w:szCs w:val="20"/>
              </w:rPr>
              <w:t xml:space="preserve">Mengalokasikan sumber daya yang memadai untuk implementasi, pemeliharaan, dan peningkatan berkelanjutan SMKI</w:t>
            </w:r>
          </w:p>
          <w:p>
            <w:pPr>
              <w:pStyle w:val="ListParagraph"/>
              <w:numPr>
                <w:ilvl w:val="0"/>
                <w:numId w:val="3"/>
              </w:numPr>
              <w:spacing w:after="40" w:before="40"/>
            </w:pPr>
            <w:r>
              <w:rPr>
                <w:rFonts w:ascii="Arial" w:cs="Arial" w:eastAsia="Arial" w:hAnsi="Arial"/>
                <w:sz w:val="20"/>
                <w:szCs w:val="20"/>
              </w:rPr>
              <w:t xml:space="preserve">Menetapkan tujuan keamanan informasi yang terukur dan memantau pencapaiannya secara berkala</w:t>
            </w:r>
          </w:p>
          <w:p>
            <w:pPr>
              <w:pStyle w:val="ListParagraph"/>
              <w:numPr>
                <w:ilvl w:val="0"/>
                <w:numId w:val="3"/>
              </w:numPr>
              <w:spacing w:after="40" w:before="40"/>
            </w:pPr>
            <w:r>
              <w:rPr>
                <w:rFonts w:ascii="Arial" w:cs="Arial" w:eastAsia="Arial" w:hAnsi="Arial"/>
                <w:sz w:val="20"/>
                <w:szCs w:val="20"/>
              </w:rPr>
              <w:t xml:space="preserve">Mengkomunikasikan pentingnya keamanan informasi kepada seluruh karyawan dan mendorong partisipasi aktif</w:t>
            </w:r>
          </w:p>
          <w:p>
            <w:pPr>
              <w:pStyle w:val="ListParagraph"/>
              <w:numPr>
                <w:ilvl w:val="0"/>
                <w:numId w:val="3"/>
              </w:numPr>
              <w:spacing w:after="40" w:before="40"/>
            </w:pPr>
            <w:r>
              <w:rPr>
                <w:rFonts w:ascii="Arial" w:cs="Arial" w:eastAsia="Arial" w:hAnsi="Arial"/>
                <w:sz w:val="20"/>
                <w:szCs w:val="20"/>
              </w:rPr>
              <w:t xml:space="preserve">Mendukung peran kepemimpinan lain dalam menerapkan SMKI di area tanggung jawabnya</w:t>
            </w:r>
          </w:p>
          <w:p>
            <w:pPr>
              <w:pStyle w:val="ListParagraph"/>
              <w:numPr>
                <w:ilvl w:val="0"/>
                <w:numId w:val="3"/>
              </w:numPr>
              <w:spacing w:after="40" w:before="40"/>
            </w:pPr>
            <w:r>
              <w:rPr>
                <w:rFonts w:ascii="Arial" w:cs="Arial" w:eastAsia="Arial" w:hAnsi="Arial"/>
                <w:sz w:val="20"/>
                <w:szCs w:val="20"/>
              </w:rPr>
              <w:t xml:space="preserve">Mendorong peningkatan berkelanjutan (continual improvement) terhadap SMKI</w:t>
            </w:r>
          </w:p>
          <w:p>
            <w:pPr>
              <w:pStyle w:val="ListParagraph"/>
              <w:numPr>
                <w:ilvl w:val="0"/>
                <w:numId w:val="3"/>
              </w:numPr>
              <w:spacing w:after="80" w:before="40"/>
            </w:pPr>
            <w:r>
              <w:rPr>
                <w:rFonts w:ascii="Arial" w:cs="Arial" w:eastAsia="Arial" w:hAnsi="Arial"/>
                <w:sz w:val="20"/>
                <w:szCs w:val="20"/>
              </w:rPr>
              <w:t xml:space="preserve">Memastikan kepatuhan terhadap peraturan perundang-undangan dan regulasi OJK yang berlaku</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5. KEBIJAKAN KEAMANAN INFORMASI KORPORAT</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5.1 Pernyataan Kebijakan</w:t>
      </w:r>
    </w:p>
    <w:p>
      <w:pPr>
        <w:spacing w:after="80" w:before="60"/>
      </w:pPr>
      <w:r>
        <w:rPr>
          <w:rFonts w:ascii="Arial" w:cs="Arial" w:eastAsia="Arial" w:hAnsi="Arial"/>
          <w:b w:val="false"/>
          <w:bCs w:val="false"/>
          <w:i w:val="false"/>
          <w:iCs w:val="false"/>
          <w:color w:val="000000"/>
          <w:sz w:val="20"/>
          <w:szCs w:val="20"/>
        </w:rPr>
        <w:t xml:space="preserve">PT Equity Life Indonesia berkomitmen untuk melindungi kerahasiaan (confidentiality), integritas (integrity), dan ketersediaan (availability) aset informasi milik perusahaan, nasabah, dan pemangku kepentingan lainnya melalui implementasi SMKI yang efektif dan berkelanjutan.</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Perusahaan menetapkan bahwa:</w:t>
      </w:r>
    </w:p>
    <w:p>
      <w:pPr>
        <w:pStyle w:val="ListParagraph"/>
        <w:numPr>
          <w:ilvl w:val="0"/>
          <w:numId w:val="2"/>
        </w:numPr>
        <w:spacing w:after="40" w:before="40"/>
      </w:pPr>
      <w:r>
        <w:rPr>
          <w:rFonts w:ascii="Arial" w:cs="Arial" w:eastAsia="Arial" w:hAnsi="Arial"/>
          <w:b w:val="false"/>
          <w:bCs w:val="false"/>
          <w:color w:val="000000"/>
          <w:sz w:val="20"/>
          <w:szCs w:val="20"/>
        </w:rPr>
        <w:t xml:space="preserve">Keamanan informasi adalah tanggung jawab bersama seluruh jajaran organisasi, dari Dewan Komisaris hingga staf operasional</w:t>
      </w:r>
    </w:p>
    <w:p>
      <w:pPr>
        <w:pStyle w:val="ListParagraph"/>
        <w:numPr>
          <w:ilvl w:val="0"/>
          <w:numId w:val="2"/>
        </w:numPr>
        <w:spacing w:after="40" w:before="40"/>
      </w:pPr>
      <w:r>
        <w:rPr>
          <w:rFonts w:ascii="Arial" w:cs="Arial" w:eastAsia="Arial" w:hAnsi="Arial"/>
          <w:b w:val="false"/>
          <w:bCs w:val="false"/>
          <w:color w:val="000000"/>
          <w:sz w:val="20"/>
          <w:szCs w:val="20"/>
        </w:rPr>
        <w:t xml:space="preserve">Risiko keamanan informasi harus diidentifikasi, dinilai, dan ditangani secara sistematis dan proporsional</w:t>
      </w:r>
    </w:p>
    <w:p>
      <w:pPr>
        <w:pStyle w:val="ListParagraph"/>
        <w:numPr>
          <w:ilvl w:val="0"/>
          <w:numId w:val="2"/>
        </w:numPr>
        <w:spacing w:after="40" w:before="40"/>
      </w:pPr>
      <w:r>
        <w:rPr>
          <w:rFonts w:ascii="Arial" w:cs="Arial" w:eastAsia="Arial" w:hAnsi="Arial"/>
          <w:b w:val="false"/>
          <w:bCs w:val="false"/>
          <w:color w:val="000000"/>
          <w:sz w:val="20"/>
          <w:szCs w:val="20"/>
        </w:rPr>
        <w:t xml:space="preserve">Insiden keamanan informasi harus dilaporkan, diselidiki, dan ditangani secara tepat waktu</w:t>
      </w:r>
    </w:p>
    <w:p>
      <w:pPr>
        <w:pStyle w:val="ListParagraph"/>
        <w:numPr>
          <w:ilvl w:val="0"/>
          <w:numId w:val="2"/>
        </w:numPr>
        <w:spacing w:after="40" w:before="40"/>
      </w:pPr>
      <w:r>
        <w:rPr>
          <w:rFonts w:ascii="Arial" w:cs="Arial" w:eastAsia="Arial" w:hAnsi="Arial"/>
          <w:b w:val="false"/>
          <w:bCs w:val="false"/>
          <w:color w:val="000000"/>
          <w:sz w:val="20"/>
          <w:szCs w:val="20"/>
        </w:rPr>
        <w:t xml:space="preserve">Seluruh karyawan, kontraktor, dan pihak ketiga yang mengakses aset informasi perusahaan wajib mematuhi kebijakan dan prosedur SMKI</w:t>
      </w:r>
    </w:p>
    <w:p>
      <w:pPr>
        <w:pStyle w:val="ListParagraph"/>
        <w:numPr>
          <w:ilvl w:val="0"/>
          <w:numId w:val="2"/>
        </w:numPr>
        <w:spacing w:after="40" w:before="40"/>
      </w:pPr>
      <w:r>
        <w:rPr>
          <w:rFonts w:ascii="Arial" w:cs="Arial" w:eastAsia="Arial" w:hAnsi="Arial"/>
          <w:b w:val="false"/>
          <w:bCs w:val="false"/>
          <w:color w:val="000000"/>
          <w:sz w:val="20"/>
          <w:szCs w:val="20"/>
        </w:rPr>
        <w:t xml:space="preserve">Kepatuhan terhadap peraturan perlindungan data pribadi dan regulasi industri merupakan kewajiban non-negosiable</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5.2 Tujuan Keamanan Informasi</w:t>
      </w:r>
    </w:p>
    <w:p>
      <w:pPr>
        <w:spacing w:after="80" w:before="60"/>
      </w:pPr>
      <w:r>
        <w:rPr>
          <w:rFonts w:ascii="Arial" w:cs="Arial" w:eastAsia="Arial" w:hAnsi="Arial"/>
          <w:b w:val="false"/>
          <w:bCs w:val="false"/>
          <w:i w:val="false"/>
          <w:iCs w:val="false"/>
          <w:color w:val="000000"/>
          <w:sz w:val="20"/>
          <w:szCs w:val="20"/>
        </w:rPr>
        <w:t xml:space="preserve">Tujuan strategis keamanan informasi PT Equity Life Indonesia mencakup:</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54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Tujuan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Indikator Keberhasilan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Perlindungan Data Nasabah</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Zero insiden kebocoran data nasabah; kepatuhan 100% terhadap UU PDP</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Kelangsungan Layanan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Uptime sistem inti &gt;= 99,5%; RTO &lt;= 4 jam; RPO &lt;= 1 jam untuk sistem kritikal</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Kepatuhan Regulasi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Zero temuan kritikal dari audit OJK; penyelesaian 100% rekomendasi audit dalam batas waktu</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Manajemen Risiko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Seluruh risiko tinggi dan kritis memiliki rencana penanganan terdokumentasi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Kompetensi SDM</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 karyawan menyelesaikan pelatihan keamanan informasi tahunan; &gt;= 80% lulus tes kesadaran keamanan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Penanganan Insiden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MTTD (Mean Time to Detect) &lt;= 24 jam; MTTR (Mean Time to Respond) &lt;= 8 jam untuk insiden kritis</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Ketahanan Siber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Pelaksanaan uji penetrasi dan BCP/DRP test minimal sekali per tahun; remediation rate &gt;= 90%</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6. STRUKTUR TATA KELOLA KEAMANAN INFORMASI</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PT Equity Life Indonesia menetapkan struktur tata kelola (governance) keamanan informasi tiga tingkat:</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6.1 Tingkat Strategis – Dewan Komisaris dan Direksi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Organ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Tanggung Jawab dalam SMKI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Dewan Komisaris</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Mengawasi kecukupan kebijakan keamanan informasi; mendapat laporan berkala tentang postur keamanan dan insiden material; memberikan arahan strategis untuk investasi keamanan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Direktur Utama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Mengesahkan Kebijakan Keamanan Informasi dan kebijakan SMKI turunannya; memastikan SMKI terintegrasi dengan strategi bisnis; menyetujui anggaran SMKI; bertanggung jawab kepada Dewan Komisaris atas postur keamanan informasi perusahaan.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Direktur Teknologi &amp; Operasional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Memimpin implementasi teknis SMKI; mengawasi kinerja CISO; memastikan keamanan infrastruktur teknologi informasi; bertanggung jawab atas kontinuitas layanan digital.</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Direktur Kepatuhan &amp; Manajemen Risiko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Memastikan kepatuhan SMKI terhadap regulasi; mengintegrasikan risiko keamanan informasi ke dalam Enterprise Risk Management; memimpin audit keamanan informasi.</w:t>
            </w:r>
          </w:p>
        </w:tc>
      </w:tr>
    </w:tbl>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6.2 Tingkat Taktis – Komite Keamanan Informasi</w:t>
      </w:r>
    </w:p>
    <w:p>
      <w:pPr>
        <w:spacing w:after="80" w:before="60"/>
      </w:pPr>
      <w:r>
        <w:rPr>
          <w:rFonts w:ascii="Arial" w:cs="Arial" w:eastAsia="Arial" w:hAnsi="Arial"/>
          <w:b w:val="false"/>
          <w:bCs w:val="false"/>
          <w:i w:val="false"/>
          <w:iCs w:val="false"/>
          <w:color w:val="000000"/>
          <w:sz w:val="20"/>
          <w:szCs w:val="20"/>
        </w:rPr>
        <w:t xml:space="preserve">Komite Keamanan Informasi (Information Security Committee / ISC) dibentuk untuk mengkoordinasikan implementasi SMKI lintas fungsi:</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6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Anggota</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Jabatan dalam ISC</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Fungsi Utama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Teknologi &amp; Operasional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Ketua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Memimpin rapat ISC; menetapkan agenda keamanan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Information Security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Sekretaris Eksekutif</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Menyiapkan bahan rapat; memantau tindak lanjut keputusan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Compliance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Anggota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Memastikan kepatuhan regulasi; menilai dampak hukum</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Risk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Anggota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Mengintegrasikan risiko keamanan ke ERM</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Chief Financial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Anggota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Menyetujui anggaran dan investasi keamanan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Human Capital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Anggota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Mengelola aspek SDM SMKI; program kesadaran keamanan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VP IT</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Anggota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Memastikan keamanan infrastruktur teknologi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 Protection Officer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Anggota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Memastikan kepatuhan perlindungan data pribadi</w:t>
            </w:r>
          </w:p>
        </w:tc>
      </w:tr>
    </w:tbl>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Frekuensi rapat ISC:</w:t>
      </w:r>
    </w:p>
    <w:p>
      <w:pPr>
        <w:pStyle w:val="ListParagraph"/>
        <w:numPr>
          <w:ilvl w:val="0"/>
          <w:numId w:val="2"/>
        </w:numPr>
        <w:spacing w:after="40" w:before="40"/>
      </w:pPr>
      <w:r>
        <w:rPr>
          <w:rFonts w:ascii="Arial" w:cs="Arial" w:eastAsia="Arial" w:hAnsi="Arial"/>
          <w:b w:val="false"/>
          <w:bCs w:val="false"/>
          <w:color w:val="000000"/>
          <w:sz w:val="20"/>
          <w:szCs w:val="20"/>
        </w:rPr>
        <w:t xml:space="preserve">Rapat rutin: Minimal triwulanan (setiap 3 bulan)</w:t>
      </w:r>
    </w:p>
    <w:p>
      <w:pPr>
        <w:pStyle w:val="ListParagraph"/>
        <w:numPr>
          <w:ilvl w:val="0"/>
          <w:numId w:val="2"/>
        </w:numPr>
        <w:spacing w:after="40" w:before="40"/>
      </w:pPr>
      <w:r>
        <w:rPr>
          <w:rFonts w:ascii="Arial" w:cs="Arial" w:eastAsia="Arial" w:hAnsi="Arial"/>
          <w:b w:val="false"/>
          <w:bCs w:val="false"/>
          <w:color w:val="000000"/>
          <w:sz w:val="20"/>
          <w:szCs w:val="20"/>
        </w:rPr>
        <w:t xml:space="preserve">Rapat insidentil: Dalam 24-48 jam setelah insiden keamanan informasi yang material</w:t>
      </w:r>
    </w:p>
    <w:p>
      <w:pPr>
        <w:pStyle w:val="ListParagraph"/>
        <w:numPr>
          <w:ilvl w:val="0"/>
          <w:numId w:val="2"/>
        </w:numPr>
        <w:spacing w:after="40" w:before="40"/>
      </w:pPr>
      <w:r>
        <w:rPr>
          <w:rFonts w:ascii="Arial" w:cs="Arial" w:eastAsia="Arial" w:hAnsi="Arial"/>
          <w:b w:val="false"/>
          <w:bCs w:val="false"/>
          <w:color w:val="000000"/>
          <w:sz w:val="20"/>
          <w:szCs w:val="20"/>
        </w:rPr>
        <w:t xml:space="preserve">Rapat tinjauan tahunan: Satu kali per tahun bersama Direksi untuk pembahasan program SMKI tahun berikutnya</w:t>
      </w:r>
    </w:p>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6.3 Tingkat Operasional – Fungsi Keamanan Informasi</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Tanggung Jawab Operasional</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Chief Information Security Officer (CISO)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Memimpin implementasi, pemeliharaan, dan peningkatan SMKI; mengelola program keamanan informasi secara menyeluruh; melaporkan kepada ISC dan Direksi; mengawasi respons insiden keamanan; mengelola program audit dan sertifikasi ISO 27001.</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 Security Manager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Mengelola operasional keamanan siber sehari-hari; mengawasi Security Operations Center (SOC); memimpin penanganan insiden teknis; mengelola vulnerability management dan penetration testing.</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 Protection Officer (DPO)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Memastikan kepatuhan terhadap UU PDP dan regulasi privasi; mengelola DPIA (Data Protection Impact Assessment); menangani permintaan hak subjek data; memantau aktivitas pemrosesan data pribadi.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Risk Officer (Keamanan Informasi)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Melakukan penilaian risiko keamanan informasi secara berkala; mengelola risk register SMKI; memantau efektivitas kontrol keamanan; mengkoordinasikan audit keamanan informasi.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Information Security Champions</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Perwakilan keamanan informasi di setiap unit bisnis; menjadi penghubung antara unit bisnis dan tim keamanan informasi; mendukung kesadaran keamanan di unit masing-masing; melaporkan potensi risiko keamanan informasi.</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7. MATRIKS RACI TANGGUNG JAWAB SMKI</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Matriks berikut menggambarkan distribusi tanggung jawab (R=Responsible, A=Accountable, C=Consulted, I=Informed) untuk aktivitas utama SMKI:</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10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Aktivitas SMKI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Direktur Utama</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Komite ISC</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CISO</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CCO</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IT Security</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0"/>
                <w:szCs w:val="20"/>
              </w:rPr>
              <w:t xml:space="preserve">Unit Bisnis</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Menetapkan kebijakan SMKI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Penilaian risiko keamanan informasi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Penetapan kontrol keamanan</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Penanganan insiden keamanan</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Program pelatihan &amp; kesadaran</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Tinjauan manajemen SMKI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Audit internal SMKI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Pelaporan kepada regulator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Manajemen risiko pihak ketiga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Kelangsungan bisnis (BCP/DRP)</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Sertifikasi ISO 27001</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1A5C38"/>
                <w:sz w:val="20"/>
                <w:szCs w:val="20"/>
              </w:rPr>
              <w:t xml:space="preserve">A</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C0392B"/>
                <w:sz w:val="20"/>
                <w:szCs w:val="20"/>
              </w:rPr>
              <w:t xml:space="preserve">R</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2563A8"/>
                <w:sz w:val="20"/>
                <w:szCs w:val="20"/>
              </w:rPr>
              <w:t xml:space="preserve">C</w:t>
            </w:r>
          </w:p>
        </w:tc>
        <w:tc>
          <w:tcPr>
            <w:tcBorders>
              <w:top w:val="single" w:color="B0B8C4" w:sz="4"/>
              <w:left w:val="single" w:color="B0B8C4" w:sz="4"/>
              <w:bottom w:val="single" w:color="B0B8C4" w:sz="4"/>
              <w:right w:val="single" w:color="B0B8C4" w:sz="4"/>
            </w:tcBorders>
            <w:shd w:fill="FFFFFF" w:val="clear"/>
            <w:tcMar>
              <w:top w:type="dxa" w:w="80"/>
              <w:left w:type="dxa" w:w="80"/>
              <w:bottom w:type="dxa" w:w="80"/>
              <w:right w:type="dxa" w:w="80"/>
            </w:tcMar>
            <w:vAlign w:val="center"/>
          </w:tcPr>
          <w:p>
            <w:pPr>
              <w:jc w:val="center"/>
            </w:pPr>
            <w:r>
              <w:rPr>
                <w:rFonts w:ascii="Arial" w:cs="Arial" w:eastAsia="Arial" w:hAnsi="Arial"/>
                <w:b/>
                <w:bCs/>
                <w:color w:val="B7600A"/>
                <w:sz w:val="20"/>
                <w:szCs w:val="20"/>
              </w:rPr>
              <w:t xml:space="preserve">I</w:t>
            </w:r>
          </w:p>
        </w:tc>
      </w:tr>
    </w:tbl>
    <w:p>
      <w:pPr>
        <w:spacing w:after="60" w:before="60"/>
      </w:pPr>
      <w:r>
        <w:t xml:space="preserve"/>
      </w:r>
    </w:p>
    <w:p>
      <w:pPr>
        <w:spacing w:after="80" w:before="60"/>
      </w:pPr>
      <w:r>
        <w:rPr>
          <w:rFonts w:ascii="Arial" w:cs="Arial" w:eastAsia="Arial" w:hAnsi="Arial"/>
          <w:b w:val="false"/>
          <w:bCs w:val="false"/>
          <w:i/>
          <w:iCs/>
          <w:color w:val="B0B8C4"/>
          <w:sz w:val="18"/>
          <w:szCs w:val="18"/>
        </w:rPr>
        <w:t xml:space="preserve">Keterangan: R = Responsible (Pelaksana), A = Accountable (Penanggungjawab), C = Consulted (Konsultan), I = Informed (Diberitahukan)</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8. TANGGUNG JAWAB MANAJEMEN DALAM TINJAUAN SMKI</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8.1 Tinjauan Manajemen (Management Review)</w:t>
      </w:r>
    </w:p>
    <w:p>
      <w:pPr>
        <w:spacing w:after="80" w:before="60"/>
      </w:pPr>
      <w:r>
        <w:rPr>
          <w:rFonts w:ascii="Arial" w:cs="Arial" w:eastAsia="Arial" w:hAnsi="Arial"/>
          <w:b w:val="false"/>
          <w:bCs w:val="false"/>
          <w:i w:val="false"/>
          <w:iCs w:val="false"/>
          <w:color w:val="000000"/>
          <w:sz w:val="20"/>
          <w:szCs w:val="20"/>
        </w:rPr>
        <w:t xml:space="preserve">Direksi wajib melaksanakan tinjauan manajemen SMKI secara formal minimal satu kali per tahun. Tinjauan manajemen harus mencakup:</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Input yang Harus Ditinjau</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Output yang Diharapkan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Status tindakan dari tinjauan sebelumnya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Keputusan terkait peluang peningkatan berkelanjutan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Perubahan isu internal dan eksternal yang relevan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Perubahan yang diperlukan dalam SMKI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Umpan balik kinerja keamanan informasi (hasil audit, insiden, pengukuran tujuan)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Kebutuhan sumber daya</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Umpan balik pemangku kepentingan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Pembaruan penilaian risiko dan rencana penanganan risiko</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Hasil penilaian risiko dan status rencana penanganan risiko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Dokumentasi hasil tinjauan manajemen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Peluang peningkatan berkelanjutan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Tindakan yang diperlukan dan penanggungjawabnya</w:t>
            </w:r>
          </w:p>
        </w:tc>
      </w:tr>
    </w:tbl>
    <w:p>
      <w:pPr>
        <w:spacing w:after="80" w:before="12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8.2 Kewajiban Manajemen dalam Alokasi Sumber Daya</w:t>
      </w:r>
    </w:p>
    <w:p>
      <w:pPr>
        <w:spacing w:after="80" w:before="60"/>
      </w:pPr>
      <w:r>
        <w:rPr>
          <w:rFonts w:ascii="Arial" w:cs="Arial" w:eastAsia="Arial" w:hAnsi="Arial"/>
          <w:b w:val="false"/>
          <w:bCs w:val="false"/>
          <w:i w:val="false"/>
          <w:iCs w:val="false"/>
          <w:color w:val="000000"/>
          <w:sz w:val="20"/>
          <w:szCs w:val="20"/>
        </w:rPr>
        <w:t xml:space="preserve">Manajemen bertanggung jawab untuk memastikan ketersediaan sumber daya yang diperlukan untuk SMKI, meliputi:</w:t>
      </w:r>
    </w:p>
    <w:p>
      <w:pPr>
        <w:pStyle w:val="ListParagraph"/>
        <w:numPr>
          <w:ilvl w:val="0"/>
          <w:numId w:val="2"/>
        </w:numPr>
        <w:spacing w:after="40" w:before="40"/>
      </w:pPr>
      <w:r>
        <w:rPr>
          <w:rFonts w:ascii="Arial" w:cs="Arial" w:eastAsia="Arial" w:hAnsi="Arial"/>
          <w:b w:val="false"/>
          <w:bCs w:val="false"/>
          <w:color w:val="000000"/>
          <w:sz w:val="20"/>
          <w:szCs w:val="20"/>
        </w:rPr>
        <w:t xml:space="preserve">Anggaran yang memadai untuk investasi teknologi keamanan informasi</w:t>
      </w:r>
    </w:p>
    <w:p>
      <w:pPr>
        <w:pStyle w:val="ListParagraph"/>
        <w:numPr>
          <w:ilvl w:val="0"/>
          <w:numId w:val="2"/>
        </w:numPr>
        <w:spacing w:after="40" w:before="40"/>
      </w:pPr>
      <w:r>
        <w:rPr>
          <w:rFonts w:ascii="Arial" w:cs="Arial" w:eastAsia="Arial" w:hAnsi="Arial"/>
          <w:b w:val="false"/>
          <w:bCs w:val="false"/>
          <w:color w:val="000000"/>
          <w:sz w:val="20"/>
          <w:szCs w:val="20"/>
        </w:rPr>
        <w:t xml:space="preserve">SDM yang kompeten, baik dari sisi jumlah maupun keahlian</w:t>
      </w:r>
    </w:p>
    <w:p>
      <w:pPr>
        <w:pStyle w:val="ListParagraph"/>
        <w:numPr>
          <w:ilvl w:val="0"/>
          <w:numId w:val="2"/>
        </w:numPr>
        <w:spacing w:after="40" w:before="40"/>
      </w:pPr>
      <w:r>
        <w:rPr>
          <w:rFonts w:ascii="Arial" w:cs="Arial" w:eastAsia="Arial" w:hAnsi="Arial"/>
          <w:b w:val="false"/>
          <w:bCs w:val="false"/>
          <w:color w:val="000000"/>
          <w:sz w:val="20"/>
          <w:szCs w:val="20"/>
        </w:rPr>
        <w:t xml:space="preserve">Waktu dan kapasitas yang cukup untuk pelatihan, audit, dan program peningkatan keamanan</w:t>
      </w:r>
    </w:p>
    <w:p>
      <w:pPr>
        <w:pStyle w:val="ListParagraph"/>
        <w:numPr>
          <w:ilvl w:val="0"/>
          <w:numId w:val="2"/>
        </w:numPr>
        <w:spacing w:after="40" w:before="40"/>
      </w:pPr>
      <w:r>
        <w:rPr>
          <w:rFonts w:ascii="Arial" w:cs="Arial" w:eastAsia="Arial" w:hAnsi="Arial"/>
          <w:b w:val="false"/>
          <w:bCs w:val="false"/>
          <w:color w:val="000000"/>
          <w:sz w:val="20"/>
          <w:szCs w:val="20"/>
        </w:rPr>
        <w:t xml:space="preserve">Dukungan infrastruktur yang diperlukan untuk implementasi kontrol keamanan</w:t>
      </w:r>
    </w:p>
    <w:p>
      <w:pPr>
        <w:pStyle w:val="ListParagraph"/>
        <w:numPr>
          <w:ilvl w:val="0"/>
          <w:numId w:val="2"/>
        </w:numPr>
        <w:spacing w:after="40" w:before="40"/>
      </w:pPr>
      <w:r>
        <w:rPr>
          <w:rFonts w:ascii="Arial" w:cs="Arial" w:eastAsia="Arial" w:hAnsi="Arial"/>
          <w:b w:val="false"/>
          <w:bCs w:val="false"/>
          <w:color w:val="000000"/>
          <w:sz w:val="20"/>
          <w:szCs w:val="20"/>
        </w:rPr>
        <w:t xml:space="preserve">Anggaran untuk kegiatan sertifikasi dan pemeliharaan sertifikasi ISO 27001</w:t>
      </w:r>
    </w:p>
    <w:p>
      <w:pPr>
        <w:spacing w:after="80" w:before="80"/>
      </w:pPr>
      <w:r>
        <w:t xml:space="preserve"/>
      </w:r>
    </w:p>
    <w:p>
      <w:pPr>
        <w:pStyle w:val="Heading2"/>
        <w:pBdr>
          <w:bottom w:val="single" w:color="2563A8" w:sz="6"/>
        </w:pBdr>
        <w:spacing w:after="120" w:before="240"/>
      </w:pPr>
      <w:r>
        <w:rPr>
          <w:rFonts w:ascii="Arial" w:cs="Arial" w:eastAsia="Arial" w:hAnsi="Arial"/>
          <w:b/>
          <w:bCs/>
          <w:color w:val="1B3A6B"/>
          <w:sz w:val="26"/>
          <w:szCs w:val="26"/>
        </w:rPr>
        <w:t xml:space="preserve">8.3 Kewajiban Manajemen dalam Komunikasi</w:t>
      </w:r>
    </w:p>
    <w:p>
      <w:pPr>
        <w:spacing w:after="80" w:before="60"/>
      </w:pPr>
      <w:r>
        <w:rPr>
          <w:rFonts w:ascii="Arial" w:cs="Arial" w:eastAsia="Arial" w:hAnsi="Arial"/>
          <w:b w:val="false"/>
          <w:bCs w:val="false"/>
          <w:i w:val="false"/>
          <w:iCs w:val="false"/>
          <w:color w:val="000000"/>
          <w:sz w:val="20"/>
          <w:szCs w:val="20"/>
        </w:rPr>
        <w:t xml:space="preserve">Manajemen senior wajib mengkomunikasikan komitmen keamanan informasi melalui:</w:t>
      </w:r>
    </w:p>
    <w:p>
      <w:pPr>
        <w:pStyle w:val="ListParagraph"/>
        <w:numPr>
          <w:ilvl w:val="0"/>
          <w:numId w:val="2"/>
        </w:numPr>
        <w:spacing w:after="40" w:before="40"/>
      </w:pPr>
      <w:r>
        <w:rPr>
          <w:rFonts w:ascii="Arial" w:cs="Arial" w:eastAsia="Arial" w:hAnsi="Arial"/>
          <w:b w:val="false"/>
          <w:bCs w:val="false"/>
          <w:color w:val="000000"/>
          <w:sz w:val="20"/>
          <w:szCs w:val="20"/>
        </w:rPr>
        <w:t xml:space="preserve">Pesan kepemimpinan (leadership message) tentang keamanan informasi minimal setahun sekali kepada seluruh karyawan</w:t>
      </w:r>
    </w:p>
    <w:p>
      <w:pPr>
        <w:pStyle w:val="ListParagraph"/>
        <w:numPr>
          <w:ilvl w:val="0"/>
          <w:numId w:val="2"/>
        </w:numPr>
        <w:spacing w:after="40" w:before="40"/>
      </w:pPr>
      <w:r>
        <w:rPr>
          <w:rFonts w:ascii="Arial" w:cs="Arial" w:eastAsia="Arial" w:hAnsi="Arial"/>
          <w:b w:val="false"/>
          <w:bCs w:val="false"/>
          <w:color w:val="000000"/>
          <w:sz w:val="20"/>
          <w:szCs w:val="20"/>
        </w:rPr>
        <w:t xml:space="preserve">Kehadiran atau keterwakilan dalam pelatihan kesadaran keamanan informasi</w:t>
      </w:r>
    </w:p>
    <w:p>
      <w:pPr>
        <w:pStyle w:val="ListParagraph"/>
        <w:numPr>
          <w:ilvl w:val="0"/>
          <w:numId w:val="2"/>
        </w:numPr>
        <w:spacing w:after="40" w:before="40"/>
      </w:pPr>
      <w:r>
        <w:rPr>
          <w:rFonts w:ascii="Arial" w:cs="Arial" w:eastAsia="Arial" w:hAnsi="Arial"/>
          <w:b w:val="false"/>
          <w:bCs w:val="false"/>
          <w:color w:val="000000"/>
          <w:sz w:val="20"/>
          <w:szCs w:val="20"/>
        </w:rPr>
        <w:t xml:space="preserve">Dukungan aktif terhadap program pelaporan insiden tanpa sanksi (no-blame reporting culture)</w:t>
      </w:r>
    </w:p>
    <w:p>
      <w:pPr>
        <w:pStyle w:val="ListParagraph"/>
        <w:numPr>
          <w:ilvl w:val="0"/>
          <w:numId w:val="2"/>
        </w:numPr>
        <w:spacing w:after="40" w:before="40"/>
      </w:pPr>
      <w:r>
        <w:rPr>
          <w:rFonts w:ascii="Arial" w:cs="Arial" w:eastAsia="Arial" w:hAnsi="Arial"/>
          <w:b w:val="false"/>
          <w:bCs w:val="false"/>
          <w:color w:val="000000"/>
          <w:sz w:val="20"/>
          <w:szCs w:val="20"/>
        </w:rPr>
        <w:t xml:space="preserve">Integrasi target keamanan informasi dalam penilaian kinerja (KPI) para manajer</w:t>
      </w:r>
    </w:p>
    <w:p>
      <w:pPr>
        <w:pStyle w:val="ListParagraph"/>
        <w:numPr>
          <w:ilvl w:val="0"/>
          <w:numId w:val="2"/>
        </w:numPr>
        <w:spacing w:after="40" w:before="40"/>
      </w:pPr>
      <w:r>
        <w:rPr>
          <w:rFonts w:ascii="Arial" w:cs="Arial" w:eastAsia="Arial" w:hAnsi="Arial"/>
          <w:b w:val="false"/>
          <w:bCs w:val="false"/>
          <w:color w:val="000000"/>
          <w:sz w:val="20"/>
          <w:szCs w:val="20"/>
        </w:rPr>
        <w:t xml:space="preserve">Pemberian penghargaan kepada karyawan yang menunjukkan perilaku keamanan informasi yang patut diteladani</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9. PROGRAM KESADARAN DAN KOMPETENSI</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Manajemen bertanggung jawab memastikan program pengembangan kompetensi keamanan informasi sebagai berikut:</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8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Program</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Sasaran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Frekuensi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PIC</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Security Awareness Training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Seluruh karyawan baru dan eksisting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Tahunan + onboarding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 / HC</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Phishing Simulation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Seluruh karyawan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Minimum 2x/tahun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IT Security</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SMKI Specialist Training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 IT Security, Risk, Compliance</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Sesuai kebutuhan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ISO 27001 Internal Auditor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 audit internal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Sertifikasi awal + refresher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 / CCO</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Executive Security Briefing</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Direksi dan Manajemen Senior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Semesteran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Tabletop Exercise / Simulasi Insiden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 respons insiden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Minimum 1x/tahun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IT Security</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Sertifikasi Profesional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Personel kunci (CISSP, CISM, CISA, dll.)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Sesuai rencana karir</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 / HC</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10. PEMANTAUAN DAN PELAPORAN KINERJA</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Kinerja SMKI dilaporkan kepada manajemen melalui mekanisme berikut:</w:t>
      </w:r>
    </w:p>
    <w:p>
      <w:pPr>
        <w:spacing w:after="60" w:before="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Laporan</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Isi</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Penerima</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Frekuensi</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Dashboard SMKI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Metrik keamanan, status risiko, insiden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CISO, VP IT</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Mingguan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Laporan Insiden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Detail insiden, dampak, tindakan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ISC, Direksi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Setiap insiden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Laporan Risiko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Risk register, risiko baru, status mitigasi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ISC, CRO</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Bulanan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KPI Keamanan Informasi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Pencapaian tujuan keamanan informasi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Triwulanan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Laporan Tinjauan Manajemen</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Tinjauan komprehensif SMKI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Direksi, Dewan Komisaris</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Tahunan</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Laporan Audit Internal</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Temuan, rekomendasi, tindakan korektif</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ISC, Direksi</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Tahunan/Insidentil</w:t>
            </w:r>
          </w:p>
        </w:tc>
      </w:tr>
    </w:tbl>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11. INTEGRASI DENGAN ENTERPRISE RISK MANAGEMENT</w:t>
      </w:r>
    </w:p>
    <w:p>
      <w:pPr>
        <w:spacing w:after="80" w:before="80"/>
      </w:pPr>
      <w:r>
        <w:t xml:space="preserve"/>
      </w:r>
    </w:p>
    <w:p>
      <w:pPr>
        <w:spacing w:after="80" w:before="60"/>
      </w:pPr>
      <w:r>
        <w:rPr>
          <w:rFonts w:ascii="Arial" w:cs="Arial" w:eastAsia="Arial" w:hAnsi="Arial"/>
          <w:b w:val="false"/>
          <w:bCs w:val="false"/>
          <w:i w:val="false"/>
          <w:iCs w:val="false"/>
          <w:color w:val="000000"/>
          <w:sz w:val="20"/>
          <w:szCs w:val="20"/>
        </w:rPr>
        <w:t xml:space="preserve">Risiko keamanan informasi harus diintegrasikan ke dalam kerangka Enterprise Risk Management (ERM) PT Equity Life Indonesia:</w:t>
      </w:r>
    </w:p>
    <w:p>
      <w:pPr>
        <w:pStyle w:val="ListParagraph"/>
        <w:numPr>
          <w:ilvl w:val="0"/>
          <w:numId w:val="2"/>
        </w:numPr>
        <w:spacing w:after="40" w:before="40"/>
      </w:pPr>
      <w:r>
        <w:rPr>
          <w:rFonts w:ascii="Arial" w:cs="Arial" w:eastAsia="Arial" w:hAnsi="Arial"/>
          <w:b w:val="false"/>
          <w:bCs w:val="false"/>
          <w:color w:val="000000"/>
          <w:sz w:val="20"/>
          <w:szCs w:val="20"/>
        </w:rPr>
        <w:t xml:space="preserve">Risiko keamanan informasi dilaporkan dalam Risk Dashboard ERM perusahaan</w:t>
      </w:r>
    </w:p>
    <w:p>
      <w:pPr>
        <w:pStyle w:val="ListParagraph"/>
        <w:numPr>
          <w:ilvl w:val="0"/>
          <w:numId w:val="2"/>
        </w:numPr>
        <w:spacing w:after="40" w:before="40"/>
      </w:pPr>
      <w:r>
        <w:rPr>
          <w:rFonts w:ascii="Arial" w:cs="Arial" w:eastAsia="Arial" w:hAnsi="Arial"/>
          <w:b w:val="false"/>
          <w:bCs w:val="false"/>
          <w:color w:val="000000"/>
          <w:sz w:val="20"/>
          <w:szCs w:val="20"/>
        </w:rPr>
        <w:t xml:space="preserve">Risiko keamanan informasi dengan tingkat 'Tinggi' atau 'Kritis' harus mendapat perhatian langsung dari Direksi</w:t>
      </w:r>
    </w:p>
    <w:p>
      <w:pPr>
        <w:pStyle w:val="ListParagraph"/>
        <w:numPr>
          <w:ilvl w:val="0"/>
          <w:numId w:val="2"/>
        </w:numPr>
        <w:spacing w:after="40" w:before="40"/>
      </w:pPr>
      <w:r>
        <w:rPr>
          <w:rFonts w:ascii="Arial" w:cs="Arial" w:eastAsia="Arial" w:hAnsi="Arial"/>
          <w:b w:val="false"/>
          <w:bCs w:val="false"/>
          <w:color w:val="000000"/>
          <w:sz w:val="20"/>
          <w:szCs w:val="20"/>
        </w:rPr>
        <w:t xml:space="preserve">Penilaian risiko keamanan informasi mengikuti metodologi penilaian risiko enterprise yang telah ditetapkan</w:t>
      </w:r>
    </w:p>
    <w:p>
      <w:pPr>
        <w:pStyle w:val="ListParagraph"/>
        <w:numPr>
          <w:ilvl w:val="0"/>
          <w:numId w:val="2"/>
        </w:numPr>
        <w:spacing w:after="40" w:before="40"/>
      </w:pPr>
      <w:r>
        <w:rPr>
          <w:rFonts w:ascii="Arial" w:cs="Arial" w:eastAsia="Arial" w:hAnsi="Arial"/>
          <w:b w:val="false"/>
          <w:bCs w:val="false"/>
          <w:color w:val="000000"/>
          <w:sz w:val="20"/>
          <w:szCs w:val="20"/>
        </w:rPr>
        <w:t xml:space="preserve">Chief Risk Officer dan CISO berkolaborasi dalam pengelolaan risiko keamanan informasi yang berdampak material</w:t>
      </w:r>
    </w:p>
    <w:p>
      <w:pPr>
        <w:pStyle w:val="ListParagraph"/>
        <w:numPr>
          <w:ilvl w:val="0"/>
          <w:numId w:val="2"/>
        </w:numPr>
        <w:spacing w:after="40" w:before="40"/>
      </w:pPr>
      <w:r>
        <w:rPr>
          <w:rFonts w:ascii="Arial" w:cs="Arial" w:eastAsia="Arial" w:hAnsi="Arial"/>
          <w:b w:val="false"/>
          <w:bCs w:val="false"/>
          <w:color w:val="000000"/>
          <w:sz w:val="20"/>
          <w:szCs w:val="20"/>
        </w:rPr>
        <w:t xml:space="preserve">Risiko keamanan informasi yang diidentifikasi dari tinjauan manajemen SMKI diteruskan ke dalam proses Risk and Control Self Assessment (RCSA)</w:t>
      </w:r>
    </w:p>
    <w:p>
      <w:pPr>
        <w:spacing w:after="80" w:before="120"/>
      </w:pPr>
      <w:r>
        <w:t xml:space="preserve"/>
      </w:r>
    </w:p>
    <w:p>
      <w:pPr>
        <w:pStyle w:val="Heading1"/>
        <w:shd w:fill="1B3A6B" w:val="clear"/>
        <w:spacing w:after="160" w:before="280"/>
        <w:ind w:left="240"/>
      </w:pPr>
      <w:r>
        <w:rPr>
          <w:rFonts w:ascii="Arial" w:cs="Arial" w:eastAsia="Arial" w:hAnsi="Arial"/>
          <w:b/>
          <w:bCs/>
          <w:color w:val="FFFFFF"/>
          <w:sz w:val="32"/>
          <w:szCs w:val="32"/>
        </w:rPr>
        <w:t xml:space="preserve">12. RIWAYAT DAN PERSETUJUAN DOKUMEN</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000"/>
        <w:gridCol w:w="2000"/>
      </w:tblGrid>
      <w:tr>
        <w:trPr>
          <w:tblHeader/>
        </w:trPr>
        <w:tc>
          <w:tcPr>
            <w:tcW w:type="dxa" w:w="9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w:t>
            </w:r>
          </w:p>
        </w:tc>
        <w:tc>
          <w:tcPr>
            <w:tcW w:type="dxa" w:w="15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Tanggal</w:t>
            </w:r>
          </w:p>
        </w:tc>
        <w:tc>
          <w:tcPr>
            <w:tcW w:type="dxa" w:w="40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Perubahan</w:t>
            </w:r>
          </w:p>
        </w:tc>
        <w:tc>
          <w:tcPr>
            <w:tcW w:type="dxa" w:w="2000"/>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Disetujui Oleh</w:t>
            </w:r>
          </w:p>
        </w:tc>
      </w:tr>
      <w:tr>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16 Mar 2026</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Penerbitan pertama</w:t>
            </w:r>
          </w:p>
        </w:tc>
        <w:tc>
          <w:tcPr>
            <w:tcBorders>
              <w:top w:val="single" w:color="B0B8C4" w:sz="4"/>
              <w:left w:val="single" w:color="B0B8C4" w:sz="4"/>
              <w:bottom w:val="single" w:color="B0B8C4" w:sz="4"/>
              <w:right w:val="single" w:color="B0B8C4"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Direktur Utama</w:t>
            </w:r>
          </w:p>
        </w:tc>
      </w:tr>
    </w:tbl>
    <w:p>
      <w:pPr>
        <w:spacing w:after="80" w:before="12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Disiapkan Oleh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Diperiksa Oleh</w:t>
            </w:r>
          </w:p>
        </w:tc>
        <w:tc>
          <w:tcPr>
            <w:tcBorders>
              <w:top w:val="single" w:color="B0B8C4" w:sz="4"/>
              <w:left w:val="single" w:color="B0B8C4" w:sz="4"/>
              <w:bottom w:val="single" w:color="B0B8C4" w:sz="4"/>
              <w:right w:val="single" w:color="B0B8C4" w:sz="4"/>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Disetujui Oleh</w:t>
            </w:r>
          </w:p>
        </w:tc>
      </w:tr>
      <w:tr>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CISO</w:t>
            </w:r>
          </w:p>
          <w:p>
            <w:r>
              <w:rPr>
                <w:rFonts w:ascii="Arial" w:cs="Arial" w:eastAsia="Arial" w:hAnsi="Arial"/>
                <w:color w:val="B0B8C4"/>
                <w:sz w:val="18"/>
                <w:szCs w:val="18"/>
              </w:rPr>
              <w:t xml:space="preserve">PT Equity Life Indonesia</w:t>
            </w:r>
          </w:p>
        </w:tc>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Direktur Kepatuhan &amp; MR</w:t>
            </w:r>
          </w:p>
          <w:p>
            <w:r>
              <w:rPr>
                <w:rFonts w:ascii="Arial" w:cs="Arial" w:eastAsia="Arial" w:hAnsi="Arial"/>
                <w:color w:val="B0B8C4"/>
                <w:sz w:val="18"/>
                <w:szCs w:val="18"/>
              </w:rPr>
              <w:t xml:space="preserve">PT Equity Life Indonesia</w:t>
            </w:r>
          </w:p>
        </w:tc>
        <w:tc>
          <w:tcPr>
            <w:tcBorders>
              <w:top w:val="single" w:color="B0B8C4" w:sz="4"/>
              <w:left w:val="single" w:color="B0B8C4" w:sz="4"/>
              <w:bottom w:val="single" w:color="B0B8C4" w:sz="4"/>
              <w:right w:val="single" w:color="B0B8C4" w:sz="4"/>
            </w:tcBorders>
            <w:tcMar>
              <w:top w:type="dxa" w:w="80"/>
              <w:left w:type="dxa" w:w="140"/>
              <w:bottom w:type="dxa" w:w="80"/>
              <w:right w:type="dxa" w:w="140"/>
            </w:tcMar>
          </w:tcPr>
          <w:p>
            <w:pPr>
              <w:spacing w:after="400" w:before="400"/>
            </w:pPr>
            <w:r>
              <w:rPr>
                <w:rFonts w:ascii="Arial" w:cs="Arial" w:eastAsia="Arial" w:hAnsi="Arial"/>
                <w:sz w:val="20"/>
                <w:szCs w:val="20"/>
              </w:rPr>
              <w:t xml:space="preserve"> </w:t>
            </w:r>
          </w:p>
          <w:p>
            <w:r>
              <w:rPr>
                <w:rFonts w:ascii="Arial" w:cs="Arial" w:eastAsia="Arial" w:hAnsi="Arial"/>
                <w:b/>
                <w:bCs/>
                <w:sz w:val="20"/>
                <w:szCs w:val="20"/>
              </w:rPr>
              <w:t xml:space="preserve">Direktur Utama</w:t>
            </w:r>
          </w:p>
          <w:p>
            <w:r>
              <w:rPr>
                <w:rFonts w:ascii="Arial" w:cs="Arial" w:eastAsia="Arial" w:hAnsi="Arial"/>
                <w:color w:val="B0B8C4"/>
                <w:sz w:val="18"/>
                <w:szCs w:val="18"/>
              </w:rPr>
              <w:t xml:space="preserve">PT Equity Life Indonesia</w:t>
            </w:r>
          </w:p>
        </w:tc>
      </w:tr>
    </w:tbl>
    <w:p>
      <w:pPr>
        <w:spacing w:after="80" w:before="80"/>
      </w:pPr>
      <w:r>
        <w:t xml:space="preserve"/>
      </w:r>
    </w:p>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pBdr>
      <w:tabs>
        <w:tab w:val="right" w:pos="9026"/>
      </w:tabs>
      <w:spacing w:before="80"/>
    </w:pPr>
    <w:r>
      <w:rPr>
        <w:rFonts w:ascii="Arial" w:cs="Arial" w:eastAsia="Arial" w:hAnsi="Arial"/>
        <w:color w:val="B0B8C4"/>
        <w:sz w:val="16"/>
        <w:szCs w:val="16"/>
      </w:rPr>
      <w:t xml:space="preserve">Kebijakan Tanggung Jawab Manajemen Keamanan Informasi | Rahasia Internal</w:t>
    </w:r>
    <w:r>
      <w:rPr>
        <w:rFonts w:ascii="Arial" w:cs="Arial" w:eastAsia="Arial" w:hAnsi="Arial"/>
        <w:sz w:val="16"/>
        <w:szCs w:val="16"/>
      </w:rPr>
      <w:t xml:space="preserve">	</w:t>
    </w:r>
    <w:r>
      <w:rPr>
        <w:rFonts w:ascii="Arial" w:cs="Arial" w:eastAsia="Arial" w:hAnsi="Arial"/>
        <w:color w:val="B0B8C4"/>
        <w:sz w:val="16"/>
        <w:szCs w:val="16"/>
      </w:rPr>
      <w:t xml:space="preserve">Halaman </w:t>
    </w:r>
    <w:r>
      <w:rPr>
        <w:rFonts w:ascii="Arial" w:cs="Arial" w:eastAsia="Arial" w:hAnsi="Arial"/>
        <w:color w:val="B0B8C4"/>
        <w:sz w:val="16"/>
        <w:szCs w:val="16"/>
      </w:rPr>
      <w:fldChar w:fldCharType="begin"/>
      <w:instrText xml:space="preserve">PAGE</w:instrText>
      <w:fldChar w:fldCharType="separate"/>
      <w:fldChar w:fldCharType="end"/>
    </w:r>
    <w:r>
      <w:rPr>
        <w:rFonts w:ascii="Arial" w:cs="Arial" w:eastAsia="Arial" w:hAnsi="Arial"/>
        <w:color w:val="B0B8C4"/>
        <w:sz w:val="16"/>
        <w:szCs w:val="16"/>
      </w:rPr>
      <w:t xml:space="preserve"> dari </w:t>
    </w:r>
    <w:r>
      <w:rPr>
        <w:rFonts w:ascii="Arial" w:cs="Arial" w:eastAsia="Arial" w:hAnsi="Arial"/>
        <w:color w:val="B0B8C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66"/>
      <w:gridCol w:w="3160"/>
    </w:tblGrid>
    <w:tr>
      <w:tc>
        <w:tcPr>
          <w:tcBorders>
            <w:top w:val="none" w:color="FFFFFF" w:sz="0"/>
            <w:left w:val="none" w:color="FFFFFF" w:sz="0"/>
            <w:bottom w:val="none" w:color="FFFFFF" w:sz="0"/>
            <w:right w:val="none" w:color="FFFFFF" w:sz="0"/>
          </w:tcBorders>
          <w:shd w:fill="1B3A6B" w:val="clear"/>
          <w:tcMar>
            <w:top w:type="dxa" w:w="80"/>
            <w:left w:type="dxa" w:w="180"/>
            <w:bottom w:type="dxa" w:w="80"/>
            <w:right w:type="dxa" w:w="180"/>
          </w:tcMar>
        </w:tcPr>
        <w:p>
          <w:r>
            <w:rPr>
              <w:rFonts w:ascii="Arial" w:cs="Arial" w:eastAsia="Arial" w:hAnsi="Arial"/>
              <w:b/>
              <w:bCs/>
              <w:color w:val="FFFFFF"/>
              <w:sz w:val="18"/>
              <w:szCs w:val="18"/>
            </w:rPr>
            <w:t xml:space="preserve">PT EQUITY LIFE INDONESIA | SMKI</w:t>
          </w:r>
        </w:p>
      </w:tc>
      <w:tc>
        <w:tcPr>
          <w:tcBorders>
            <w:top w:val="none" w:color="FFFFFF" w:sz="0"/>
            <w:left w:val="none" w:color="FFFFFF" w:sz="0"/>
            <w:bottom w:val="none" w:color="FFFFFF" w:sz="0"/>
            <w:right w:val="none" w:color="FFFFFF" w:sz="0"/>
          </w:tcBorders>
          <w:shd w:fill="2563A8" w:val="clear"/>
          <w:tcMar>
            <w:top w:type="dxa" w:w="80"/>
            <w:left w:type="dxa" w:w="180"/>
            <w:bottom w:type="dxa" w:w="80"/>
            <w:right w:type="dxa" w:w="180"/>
          </w:tcMar>
          <w:vAlign w:val="center"/>
        </w:tcPr>
        <w:p>
          <w:pPr>
            <w:jc w:val="right"/>
          </w:pPr>
          <w:r>
            <w:rPr>
              <w:rFonts w:ascii="Arial" w:cs="Arial" w:eastAsia="Arial" w:hAnsi="Arial"/>
              <w:color w:val="FFFFFF"/>
              <w:sz w:val="16"/>
              <w:szCs w:val="16"/>
            </w:rPr>
            <w:t xml:space="preserve">ISMS-POL-MR-001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2026-03-15T21:48:41.533Z</dcterms:created>
  <dcterms:modified xsi:type="dcterms:W3CDTF">2026-03-15T21:48:41.533Z</dcterms:modified>
</cp:coreProperties>
</file>

<file path=docProps/custom.xml><?xml version="1.0" encoding="utf-8"?>
<Properties xmlns="http://schemas.openxmlformats.org/officeDocument/2006/custom-properties" xmlns:vt="http://schemas.openxmlformats.org/officeDocument/2006/docPropsVTypes"/>
</file>