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sz w:val="4"/>
          <w:szCs w:val="4"/>
        </w:rPr>
        <w:t xml:space="preserve"> </w:t>
      </w:r>
    </w:p>
    <w:p>
      <w:pPr>
        <w:spacing w:after="200" w:before="800"/>
      </w:pPr>
      <w:r>
        <w:t xml:space="preserve"/>
      </w:r>
    </w:p>
    <w:p>
      <w:pPr>
        <w:jc w:val="center"/>
      </w:pPr>
      <w:r>
        <w:rPr>
          <w:rFonts w:ascii="Arial" w:cs="Arial" w:eastAsia="Arial" w:hAnsi="Arial"/>
          <w:b/>
          <w:bCs/>
          <w:color w:val="1B3A6B"/>
          <w:sz w:val="36"/>
          <w:szCs w:val="36"/>
        </w:rPr>
        <w:t xml:space="preserve">PT EQUITY LIFE INDONESIA</w:t>
      </w:r>
    </w:p>
    <w:p>
      <w:pPr>
        <w:jc w:val="center"/>
      </w:pPr>
      <w:r>
        <w:rPr>
          <w:rFonts w:ascii="Arial" w:cs="Arial" w:eastAsia="Arial" w:hAnsi="Arial"/>
          <w:b w:val="false"/>
          <w:bCs w:val="false"/>
          <w:color w:val="2563A8"/>
          <w:sz w:val="24"/>
          <w:szCs w:val="24"/>
        </w:rPr>
        <w:t xml:space="preserve">Sistem Manajemen Keamanan Informasi</w:t>
      </w:r>
    </w:p>
    <w:p>
      <w:pPr>
        <w:spacing w:after="200" w:before="300"/>
      </w:pPr>
      <w:r>
        <w:t xml:space="preserve"/>
      </w:r>
    </w:p>
    <w:p>
      <w:pPr>
        <w:jc w:val="center"/>
      </w:pPr>
      <w:r>
        <w:rPr>
          <w:rFonts w:ascii="Arial" w:cs="Arial" w:eastAsia="Arial" w:hAnsi="Arial"/>
          <w:color w:val="D6E4F7"/>
          <w:sz w:val="20"/>
          <w:szCs w:val="20"/>
        </w:rPr>
        <w:t xml:space="preserve">─────────────────────────────────────────</w:t>
      </w:r>
    </w:p>
    <w:p>
      <w:pPr>
        <w:spacing w:after="200" w:before="200"/>
      </w:pPr>
      <w:r>
        <w:t xml:space="preserve"/>
      </w:r>
    </w:p>
    <w:p>
      <w:pPr>
        <w:jc w:val="center"/>
      </w:pPr>
      <w:r>
        <w:rPr>
          <w:rFonts w:ascii="Arial" w:cs="Arial" w:eastAsia="Arial" w:hAnsi="Arial"/>
          <w:b/>
          <w:bCs/>
          <w:color w:val="1B3A6B"/>
          <w:sz w:val="40"/>
          <w:szCs w:val="40"/>
        </w:rPr>
        <w:t xml:space="preserve">Kebijakan Kontak dengan Pihak Berwenang</w:t>
      </w:r>
    </w:p>
    <w:p>
      <w:pPr>
        <w:spacing w:after="3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Nomor Dokumen</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ISMS-POL-OR-001</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Versi</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1.0</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Tanggal Efektif</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16 Maret 2026</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Klasifikasi</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INTERNAL</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Referensi ISO</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val="false"/>
                <w:bCs w:val="false"/>
                <w:sz w:val="20"/>
                <w:szCs w:val="20"/>
              </w:rPr>
              <w:t xml:space="preserve">ISO 27001:2022 Annex A 6.1</w:t>
            </w:r>
          </w:p>
        </w:tc>
      </w:tr>
    </w:tbl>
    <w:p>
      <w:pPr>
        <w:spacing w:after="200" w:before="400"/>
      </w:pPr>
      <w:r>
        <w:t xml:space="preserve"/>
      </w:r>
    </w:p>
    <w:p>
      <w:pPr>
        <w:jc w:val="center"/>
      </w:pPr>
      <w:r>
        <w:rPr>
          <w:rFonts w:ascii="Arial" w:cs="Arial" w:eastAsia="Arial" w:hAnsi="Arial"/>
          <w:color w:val="D6E4F7"/>
          <w:sz w:val="20"/>
          <w:szCs w:val="20"/>
        </w:rPr>
        <w:t xml:space="preserve">─────────────────────────────────────────</w:t>
      </w:r>
    </w:p>
    <w:p>
      <w:pPr>
        <w:spacing w:after="200" w:before="200"/>
      </w:pPr>
      <w:r>
        <w:t xml:space="preserve"/>
      </w:r>
    </w:p>
    <w:p>
      <w:pPr>
        <w:jc w:val="center"/>
      </w:pPr>
      <w:r>
        <w:rPr>
          <w:rFonts w:ascii="Arial" w:cs="Arial" w:eastAsia="Arial" w:hAnsi="Arial"/>
          <w:color w:val="B0B8C4"/>
          <w:sz w:val="18"/>
          <w:szCs w:val="18"/>
        </w:rPr>
        <w:t xml:space="preserve">Dokumen ini merupakan milik PT Equity Life Indonesia</w:t>
      </w:r>
    </w:p>
    <w:p>
      <w:pPr>
        <w:jc w:val="center"/>
      </w:pPr>
      <w:r>
        <w:rPr>
          <w:rFonts w:ascii="Arial" w:cs="Arial" w:eastAsia="Arial" w:hAnsi="Arial"/>
          <w:color w:val="B0B8C4"/>
          <w:sz w:val="18"/>
          <w:szCs w:val="18"/>
        </w:rPr>
        <w:t xml:space="preserve">Dilarang menyebarluaskan tanpa izin tertulis</w:t>
      </w:r>
    </w:p>
    <w:p>
      <w:pPr>
        <w:spacing w:after="100" w:before="600"/>
      </w:pPr>
      <w:r>
        <w:t xml:space="preserve"/>
      </w:r>
    </w:p>
    <w:p>
      <w:r>
        <w:br w:type="page"/>
      </w:r>
    </w:p>
    <w:p>
      <w:pPr>
        <w:pStyle w:val="Heading1"/>
        <w:shd w:fill="1B3A6B" w:val="clear"/>
        <w:spacing w:after="160" w:before="280"/>
        <w:ind w:left="240"/>
      </w:pPr>
      <w:r>
        <w:rPr>
          <w:rFonts w:ascii="Arial" w:cs="Arial" w:eastAsia="Arial" w:hAnsi="Arial"/>
          <w:b/>
          <w:bCs/>
          <w:color w:val="FFFFFF"/>
          <w:sz w:val="32"/>
          <w:szCs w:val="32"/>
        </w:rPr>
        <w:t xml:space="preserve">1. TUJUAN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bertujuan untuk menetapkan prosedur dan tanggung jawab PT Equity Life Indonesia dalam mengelola hubungan dengan pihak berwenang yang relevan, termasuk regulator, lembaga pemerintah, aparat penegak hukum, dan otoritas terkait lainnya, dalam rangka memastikan kepatuhan terhadap peraturan perundang-undangan yang berlaku serta mendukung perlindungan keamanan informasi perusahaan.</w:t>
      </w:r>
    </w:p>
    <w:p>
      <w:pPr>
        <w:spacing w:after="80" w:before="80"/>
      </w:pPr>
      <w:r>
        <w:t xml:space="preserve"/>
      </w:r>
    </w:p>
    <w:p>
      <w:pPr>
        <w:pStyle w:val="Heading1"/>
        <w:shd w:fill="1B3A6B" w:val="clear"/>
        <w:spacing w:after="160" w:before="280"/>
        <w:ind w:left="240"/>
      </w:pPr>
      <w:r>
        <w:rPr>
          <w:rFonts w:ascii="Arial" w:cs="Arial" w:eastAsia="Arial" w:hAnsi="Arial"/>
          <w:b/>
          <w:bCs/>
          <w:color w:val="FFFFFF"/>
          <w:sz w:val="32"/>
          <w:szCs w:val="32"/>
        </w:rPr>
        <w:t xml:space="preserve">2. RUANG LINGKUP</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berlaku untuk:</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karyawan, pejabat, dan manajemen PT Equity Life Indonesia</w:t>
      </w:r>
    </w:p>
    <w:p>
      <w:pPr>
        <w:pStyle w:val="ListParagraph"/>
        <w:numPr>
          <w:ilvl w:val="0"/>
          <w:numId w:val="2"/>
        </w:numPr>
        <w:spacing w:after="40" w:before="40"/>
      </w:pPr>
      <w:r>
        <w:rPr>
          <w:rFonts w:ascii="Arial" w:cs="Arial" w:eastAsia="Arial" w:hAnsi="Arial"/>
          <w:b w:val="false"/>
          <w:bCs w:val="false"/>
          <w:color w:val="000000"/>
          <w:sz w:val="20"/>
          <w:szCs w:val="20"/>
        </w:rPr>
        <w:t xml:space="preserve">Pihak ketiga yang bertindak atas nama PT Equity Life Indonesia dalam berinteraksi dengan pihak berwenang</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divisi dan unit kerja yang berpotensi berinteraksi dengan otoritas eksternal</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mencakup hubungan dengan, namun tidak terbatas pada:</w:t>
      </w:r>
    </w:p>
    <w:p>
      <w:pPr>
        <w:pStyle w:val="ListParagraph"/>
        <w:numPr>
          <w:ilvl w:val="0"/>
          <w:numId w:val="2"/>
        </w:numPr>
        <w:spacing w:after="40" w:before="40"/>
      </w:pPr>
      <w:r>
        <w:rPr>
          <w:rFonts w:ascii="Arial" w:cs="Arial" w:eastAsia="Arial" w:hAnsi="Arial"/>
          <w:b w:val="false"/>
          <w:bCs w:val="false"/>
          <w:color w:val="000000"/>
          <w:sz w:val="20"/>
          <w:szCs w:val="20"/>
        </w:rPr>
        <w:t xml:space="preserve">Otoritas Jasa Keuangan (OJK)</w:t>
      </w:r>
    </w:p>
    <w:p>
      <w:pPr>
        <w:pStyle w:val="ListParagraph"/>
        <w:numPr>
          <w:ilvl w:val="0"/>
          <w:numId w:val="2"/>
        </w:numPr>
        <w:spacing w:after="40" w:before="40"/>
      </w:pPr>
      <w:r>
        <w:rPr>
          <w:rFonts w:ascii="Arial" w:cs="Arial" w:eastAsia="Arial" w:hAnsi="Arial"/>
          <w:b w:val="false"/>
          <w:bCs w:val="false"/>
          <w:color w:val="000000"/>
          <w:sz w:val="20"/>
          <w:szCs w:val="20"/>
        </w:rPr>
        <w:t xml:space="preserve">Bank Indonesia (BI)</w:t>
      </w:r>
    </w:p>
    <w:p>
      <w:pPr>
        <w:pStyle w:val="ListParagraph"/>
        <w:numPr>
          <w:ilvl w:val="0"/>
          <w:numId w:val="2"/>
        </w:numPr>
        <w:spacing w:after="40" w:before="40"/>
      </w:pPr>
      <w:r>
        <w:rPr>
          <w:rFonts w:ascii="Arial" w:cs="Arial" w:eastAsia="Arial" w:hAnsi="Arial"/>
          <w:b w:val="false"/>
          <w:bCs w:val="false"/>
          <w:color w:val="000000"/>
          <w:sz w:val="20"/>
          <w:szCs w:val="20"/>
        </w:rPr>
        <w:t xml:space="preserve">Badan Siber dan Sandi Negara (BSSN)</w:t>
      </w:r>
    </w:p>
    <w:p>
      <w:pPr>
        <w:pStyle w:val="ListParagraph"/>
        <w:numPr>
          <w:ilvl w:val="0"/>
          <w:numId w:val="2"/>
        </w:numPr>
        <w:spacing w:after="40" w:before="40"/>
      </w:pPr>
      <w:r>
        <w:rPr>
          <w:rFonts w:ascii="Arial" w:cs="Arial" w:eastAsia="Arial" w:hAnsi="Arial"/>
          <w:b w:val="false"/>
          <w:bCs w:val="false"/>
          <w:color w:val="000000"/>
          <w:sz w:val="20"/>
          <w:szCs w:val="20"/>
        </w:rPr>
        <w:t xml:space="preserve">Kepolisian Republik Indonesia (POLRI) dan Kejaksaan</w:t>
      </w:r>
    </w:p>
    <w:p>
      <w:pPr>
        <w:pStyle w:val="ListParagraph"/>
        <w:numPr>
          <w:ilvl w:val="0"/>
          <w:numId w:val="2"/>
        </w:numPr>
        <w:spacing w:after="40" w:before="40"/>
      </w:pPr>
      <w:r>
        <w:rPr>
          <w:rFonts w:ascii="Arial" w:cs="Arial" w:eastAsia="Arial" w:hAnsi="Arial"/>
          <w:b w:val="false"/>
          <w:bCs w:val="false"/>
          <w:color w:val="000000"/>
          <w:sz w:val="20"/>
          <w:szCs w:val="20"/>
        </w:rPr>
        <w:t xml:space="preserve">Kementerian Komunikasi dan Digital (Kominfo)</w:t>
      </w:r>
    </w:p>
    <w:p>
      <w:pPr>
        <w:pStyle w:val="ListParagraph"/>
        <w:numPr>
          <w:ilvl w:val="0"/>
          <w:numId w:val="2"/>
        </w:numPr>
        <w:spacing w:after="40" w:before="40"/>
      </w:pPr>
      <w:r>
        <w:rPr>
          <w:rFonts w:ascii="Arial" w:cs="Arial" w:eastAsia="Arial" w:hAnsi="Arial"/>
          <w:b w:val="false"/>
          <w:bCs w:val="false"/>
          <w:color w:val="000000"/>
          <w:sz w:val="20"/>
          <w:szCs w:val="20"/>
        </w:rPr>
        <w:t xml:space="preserve">Direktorat Jenderal Pajak (DJP)</w:t>
      </w:r>
    </w:p>
    <w:p>
      <w:pPr>
        <w:pStyle w:val="ListParagraph"/>
        <w:numPr>
          <w:ilvl w:val="0"/>
          <w:numId w:val="2"/>
        </w:numPr>
        <w:spacing w:after="40" w:before="40"/>
      </w:pPr>
      <w:r>
        <w:rPr>
          <w:rFonts w:ascii="Arial" w:cs="Arial" w:eastAsia="Arial" w:hAnsi="Arial"/>
          <w:b w:val="false"/>
          <w:bCs w:val="false"/>
          <w:color w:val="000000"/>
          <w:sz w:val="20"/>
          <w:szCs w:val="20"/>
        </w:rPr>
        <w:t xml:space="preserve">Pusat Pelaporan dan Analisis Transaksi Keuangan (PPATK)</w:t>
      </w:r>
    </w:p>
    <w:p>
      <w:pPr>
        <w:pStyle w:val="ListParagraph"/>
        <w:numPr>
          <w:ilvl w:val="0"/>
          <w:numId w:val="2"/>
        </w:numPr>
        <w:spacing w:after="40" w:before="40"/>
      </w:pPr>
      <w:r>
        <w:rPr>
          <w:rFonts w:ascii="Arial" w:cs="Arial" w:eastAsia="Arial" w:hAnsi="Arial"/>
          <w:b w:val="false"/>
          <w:bCs w:val="false"/>
          <w:color w:val="000000"/>
          <w:sz w:val="20"/>
          <w:szCs w:val="20"/>
        </w:rPr>
        <w:t xml:space="preserve">Lembaga pemerintah lainnya yang relevan</w:t>
      </w:r>
    </w:p>
    <w:p>
      <w:pPr>
        <w:spacing w:after="80" w:before="80"/>
      </w:pPr>
      <w:r>
        <w:t xml:space="preserve"/>
      </w:r>
    </w:p>
    <w:p>
      <w:pPr>
        <w:pStyle w:val="Heading1"/>
        <w:shd w:fill="1B3A6B" w:val="clear"/>
        <w:spacing w:after="160" w:before="280"/>
        <w:ind w:left="240"/>
      </w:pPr>
      <w:r>
        <w:rPr>
          <w:rFonts w:ascii="Arial" w:cs="Arial" w:eastAsia="Arial" w:hAnsi="Arial"/>
          <w:b/>
          <w:bCs/>
          <w:color w:val="FFFFFF"/>
          <w:sz w:val="32"/>
          <w:szCs w:val="32"/>
        </w:rPr>
        <w:t xml:space="preserve">3. REFERENSI REGULASI DAN STANDAR</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Referensi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Keterangan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Annex A 6.1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Contact with authorities</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27002:2022 Klausul 6.1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Panduan implementasi kontak dengan pihak berwenang</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 No. 27 Tahun 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Perlindungan Data Pribadi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POJK No. 11/POJK.03/2022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Penyelenggaraan Teknologi Informasi oleh Bank Umum</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SEOJK No. 29/SEOJK.05/2022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Keamanan Siber Bagi PUJK</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 No. 8 Tahun 1999</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Perlindungan Konsumen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POJK No. 69/POJK.05/2016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Penyelenggaraan Usaha Perusahaan Asuransi Jiwa</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4. DEFINISI</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Istilah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Definisi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Pihak Berwenang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Lembaga atau badan pemerintah, regulator, aparat penegak hukum, dan otoritas resmi yang memiliki kewenangan hukum atau regulasi atas kegiatan operasional PT Equity Life Indonesia.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PIC Kontak</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Person In Charge yang ditunjuk sebagai penghubung resmi antara PT Equity Life Indonesia dengan pihak berwenang tertentu.</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Insiden Keamanan Informasi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Kejadian yang berpotensi atau telah mengganggu kerahasiaan, integritas, dan ketersediaan aset informasi perusahaan.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Eskalasi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Proses penerusan informasi atau permasalahan kepada level manajemen yang lebih tinggi atau fungsi yang memiliki wewenang lebih besar.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Regulator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Lembaga yang secara khusus berwenang mengatur dan mengawasi industri perasuransian dan jasa keuangan, terutama OJK.</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5. PERNYATAAN KEBIJAKAN</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5.1 Prinsip Umum</w:t>
      </w:r>
    </w:p>
    <w:p>
      <w:pPr>
        <w:spacing w:after="80" w:before="60"/>
      </w:pPr>
      <w:r>
        <w:rPr>
          <w:rFonts w:ascii="Arial" w:cs="Arial" w:eastAsia="Arial" w:hAnsi="Arial"/>
          <w:b w:val="false"/>
          <w:bCs w:val="false"/>
          <w:i w:val="false"/>
          <w:iCs w:val="false"/>
          <w:color w:val="000000"/>
          <w:sz w:val="20"/>
          <w:szCs w:val="20"/>
        </w:rPr>
        <w:t xml:space="preserve">PT Equity Life Indonesia berkomitmen untuk:</w:t>
      </w:r>
    </w:p>
    <w:p>
      <w:pPr>
        <w:pStyle w:val="ListParagraph"/>
        <w:numPr>
          <w:ilvl w:val="0"/>
          <w:numId w:val="3"/>
        </w:numPr>
        <w:spacing w:after="40" w:before="40"/>
      </w:pPr>
      <w:r>
        <w:rPr>
          <w:rFonts w:ascii="Arial" w:cs="Arial" w:eastAsia="Arial" w:hAnsi="Arial"/>
          <w:b w:val="false"/>
          <w:bCs w:val="false"/>
          <w:color w:val="000000"/>
          <w:sz w:val="20"/>
          <w:szCs w:val="20"/>
        </w:rPr>
        <w:t xml:space="preserve">Memelihara hubungan yang proaktif, transparan, dan bertanggung jawab dengan pihak berwenang yang relevan.</w:t>
      </w:r>
    </w:p>
    <w:p>
      <w:pPr>
        <w:pStyle w:val="ListParagraph"/>
        <w:numPr>
          <w:ilvl w:val="0"/>
          <w:numId w:val="3"/>
        </w:numPr>
        <w:spacing w:after="40" w:before="40"/>
      </w:pPr>
      <w:r>
        <w:rPr>
          <w:rFonts w:ascii="Arial" w:cs="Arial" w:eastAsia="Arial" w:hAnsi="Arial"/>
          <w:b w:val="false"/>
          <w:bCs w:val="false"/>
          <w:color w:val="000000"/>
          <w:sz w:val="20"/>
          <w:szCs w:val="20"/>
        </w:rPr>
        <w:t xml:space="preserve">Memastikan seluruh komunikasi dengan pihak berwenang dilakukan melalui saluran resmi yang telah ditetapkan.</w:t>
      </w:r>
    </w:p>
    <w:p>
      <w:pPr>
        <w:pStyle w:val="ListParagraph"/>
        <w:numPr>
          <w:ilvl w:val="0"/>
          <w:numId w:val="3"/>
        </w:numPr>
        <w:spacing w:after="40" w:before="40"/>
      </w:pPr>
      <w:r>
        <w:rPr>
          <w:rFonts w:ascii="Arial" w:cs="Arial" w:eastAsia="Arial" w:hAnsi="Arial"/>
          <w:b w:val="false"/>
          <w:bCs w:val="false"/>
          <w:color w:val="000000"/>
          <w:sz w:val="20"/>
          <w:szCs w:val="20"/>
        </w:rPr>
        <w:t xml:space="preserve">Memenuhi seluruh kewajiban pelaporan kepada regulator secara tepat waktu dan akurat.</w:t>
      </w:r>
    </w:p>
    <w:p>
      <w:pPr>
        <w:pStyle w:val="ListParagraph"/>
        <w:numPr>
          <w:ilvl w:val="0"/>
          <w:numId w:val="3"/>
        </w:numPr>
        <w:spacing w:after="40" w:before="40"/>
      </w:pPr>
      <w:r>
        <w:rPr>
          <w:rFonts w:ascii="Arial" w:cs="Arial" w:eastAsia="Arial" w:hAnsi="Arial"/>
          <w:b w:val="false"/>
          <w:bCs w:val="false"/>
          <w:color w:val="000000"/>
          <w:sz w:val="20"/>
          <w:szCs w:val="20"/>
        </w:rPr>
        <w:t xml:space="preserve">Melindungi kepentingan perusahaan, nasabah, dan pemangku kepentingan dalam setiap interaksi dengan otoritas eksternal.</w:t>
      </w:r>
    </w:p>
    <w:p>
      <w:pPr>
        <w:pStyle w:val="ListParagraph"/>
        <w:numPr>
          <w:ilvl w:val="0"/>
          <w:numId w:val="3"/>
        </w:numPr>
        <w:spacing w:after="40" w:before="40"/>
      </w:pPr>
      <w:r>
        <w:rPr>
          <w:rFonts w:ascii="Arial" w:cs="Arial" w:eastAsia="Arial" w:hAnsi="Arial"/>
          <w:b w:val="false"/>
          <w:bCs w:val="false"/>
          <w:color w:val="000000"/>
          <w:sz w:val="20"/>
          <w:szCs w:val="20"/>
        </w:rPr>
        <w:t xml:space="preserve">Menjaga kerahasiaan informasi sensitif perusahaan saat berinteraksi dengan pihak berwenang.</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5.2 Penunjukan PIC (Person In Charge)</w:t>
      </w:r>
    </w:p>
    <w:p>
      <w:pPr>
        <w:spacing w:after="80" w:before="60"/>
      </w:pPr>
      <w:r>
        <w:rPr>
          <w:rFonts w:ascii="Arial" w:cs="Arial" w:eastAsia="Arial" w:hAnsi="Arial"/>
          <w:b w:val="false"/>
          <w:bCs w:val="false"/>
          <w:i w:val="false"/>
          <w:iCs w:val="false"/>
          <w:color w:val="000000"/>
          <w:sz w:val="20"/>
          <w:szCs w:val="20"/>
        </w:rPr>
        <w:t xml:space="preserve">Setiap interaksi dengan pihak berwenang harus melalui PIC yang telah ditetapkan: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Pihak Berwenang</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PIC Utama</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PIC Alternatif</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Otoritas Jasa Keuangan (OJK)</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Compliance &amp; Legal</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Bank Indonesia (BI)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Treasury</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BSSN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Information Security Officer (CISO)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IT Security</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POLRI / Kejaksaan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Utama / Legal Counsel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Kominfo / PDPB</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 / DPO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IT</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DJP / Bea Cukai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Financial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Finance</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PPATK</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AML/CFT</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Pengadilan &amp; Arbitrase</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Legal Counsel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Utama</w:t>
            </w:r>
          </w:p>
        </w:tc>
      </w:tr>
    </w:tbl>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5.3 Prosedur Pelaporan Insiden Keamanan Informasi kepada Pihak Berwenang</w:t>
      </w:r>
    </w:p>
    <w:p>
      <w:pPr>
        <w:spacing w:after="80" w:before="60"/>
      </w:pPr>
      <w:r>
        <w:rPr>
          <w:rFonts w:ascii="Arial" w:cs="Arial" w:eastAsia="Arial" w:hAnsi="Arial"/>
          <w:b w:val="false"/>
          <w:bCs w:val="false"/>
          <w:i w:val="false"/>
          <w:iCs w:val="false"/>
          <w:color w:val="000000"/>
          <w:sz w:val="20"/>
          <w:szCs w:val="20"/>
        </w:rPr>
        <w:t xml:space="preserve">Dalam hal terjadi insiden keamanan informasi yang wajib dilaporkan kepada pihak berwenang:</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2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Langkah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Waktu</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Tindakan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0 - 1 Jam</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Deteksi dan konfirmasi insiden oleh tim IT Security</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1 - 3 Jam</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Eskalasi kepada CISO dan manajemen terkait</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3 - 8 Jam</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Penilaian dampak dan klasifikasi insiden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Maks. 14 Jam</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Pelaporan awal kepada OJK / BSSN sesuai regulasi yang berlaku</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Maks. 3 Hari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Pelaporan lengkap dengan analisis awal kepada regulator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Maks. 14 Hari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Pelaporan final dengan rekomendasi tindakan perbaikan</w:t>
            </w:r>
          </w:p>
        </w:tc>
      </w:tr>
    </w:tbl>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5.4 Ketentuan Komunikasi</w:t>
      </w:r>
    </w:p>
    <w:p>
      <w:pPr>
        <w:spacing w:after="80" w:before="60"/>
      </w:pPr>
      <w:r>
        <w:rPr>
          <w:rFonts w:ascii="Arial" w:cs="Arial" w:eastAsia="Arial" w:hAnsi="Arial"/>
          <w:b w:val="false"/>
          <w:bCs w:val="false"/>
          <w:i w:val="false"/>
          <w:iCs w:val="false"/>
          <w:color w:val="000000"/>
          <w:sz w:val="20"/>
          <w:szCs w:val="20"/>
        </w:rPr>
        <w:t xml:space="preserve">Seluruh komunikasi dengan pihak berwenang harus mematuhi ketentuan berikut:</w:t>
      </w:r>
    </w:p>
    <w:p>
      <w:pPr>
        <w:pStyle w:val="ListParagraph"/>
        <w:numPr>
          <w:ilvl w:val="0"/>
          <w:numId w:val="2"/>
        </w:numPr>
        <w:spacing w:after="40" w:before="40"/>
      </w:pPr>
      <w:r>
        <w:rPr>
          <w:rFonts w:ascii="Arial" w:cs="Arial" w:eastAsia="Arial" w:hAnsi="Arial"/>
          <w:b w:val="false"/>
          <w:bCs w:val="false"/>
          <w:color w:val="000000"/>
          <w:sz w:val="20"/>
          <w:szCs w:val="20"/>
        </w:rPr>
        <w:t xml:space="preserve">Hanya PIC yang telah ditetapkan yang dapat berkomunikasi secara resmi dengan pihak berwenang</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korespondensi tertulis dengan pihak berwenang harus diarsipkan dan dicatat dalam sistem manajemen dokumen perusahaan</w:t>
      </w:r>
    </w:p>
    <w:p>
      <w:pPr>
        <w:pStyle w:val="ListParagraph"/>
        <w:numPr>
          <w:ilvl w:val="0"/>
          <w:numId w:val="2"/>
        </w:numPr>
        <w:spacing w:after="40" w:before="40"/>
      </w:pPr>
      <w:r>
        <w:rPr>
          <w:rFonts w:ascii="Arial" w:cs="Arial" w:eastAsia="Arial" w:hAnsi="Arial"/>
          <w:b w:val="false"/>
          <w:bCs w:val="false"/>
          <w:color w:val="000000"/>
          <w:sz w:val="20"/>
          <w:szCs w:val="20"/>
        </w:rPr>
        <w:t xml:space="preserve">Permintaan informasi dari pihak berwenang harus didokumentasikan dan dikonsultasikan dengan Legal Counsel sebelum dijawab</w:t>
      </w:r>
    </w:p>
    <w:p>
      <w:pPr>
        <w:pStyle w:val="ListParagraph"/>
        <w:numPr>
          <w:ilvl w:val="0"/>
          <w:numId w:val="2"/>
        </w:numPr>
        <w:spacing w:after="40" w:before="40"/>
      </w:pPr>
      <w:r>
        <w:rPr>
          <w:rFonts w:ascii="Arial" w:cs="Arial" w:eastAsia="Arial" w:hAnsi="Arial"/>
          <w:b w:val="false"/>
          <w:bCs w:val="false"/>
          <w:color w:val="000000"/>
          <w:sz w:val="20"/>
          <w:szCs w:val="20"/>
        </w:rPr>
        <w:t xml:space="preserve">Tidak ada karyawan yang boleh memberikan informasi sensitif perusahaan kepada pihak berwenang tanpa persetujuan dari pejabat yang berwenang</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kunjungan resmi dari pihak berwenang harus diberitahukan kepada Legal Counsel dan CISO minimal 24 jam sebelumnya</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5.5 Kerahasiaan Informasi</w:t>
      </w:r>
    </w:p>
    <w:p>
      <w:pPr>
        <w:spacing w:after="80" w:before="60"/>
      </w:pPr>
      <w:r>
        <w:rPr>
          <w:rFonts w:ascii="Arial" w:cs="Arial" w:eastAsia="Arial" w:hAnsi="Arial"/>
          <w:b w:val="false"/>
          <w:bCs w:val="false"/>
          <w:i w:val="false"/>
          <w:iCs w:val="false"/>
          <w:color w:val="000000"/>
          <w:sz w:val="20"/>
          <w:szCs w:val="20"/>
        </w:rPr>
        <w:t xml:space="preserve">Dalam setiap interaksi dengan pihak berwenang:</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yang diberikan harus sesuai dengan kewajiban hukum dan tidak melebihi yang diperlukan</w:t>
      </w:r>
    </w:p>
    <w:p>
      <w:pPr>
        <w:pStyle w:val="ListParagraph"/>
        <w:numPr>
          <w:ilvl w:val="0"/>
          <w:numId w:val="2"/>
        </w:numPr>
        <w:spacing w:after="40" w:before="40"/>
      </w:pPr>
      <w:r>
        <w:rPr>
          <w:rFonts w:ascii="Arial" w:cs="Arial" w:eastAsia="Arial" w:hAnsi="Arial"/>
          <w:b w:val="false"/>
          <w:bCs w:val="false"/>
          <w:color w:val="000000"/>
          <w:sz w:val="20"/>
          <w:szCs w:val="20"/>
        </w:rPr>
        <w:t xml:space="preserve">Data nasabah hanya dapat diberikan setelah mendapat persetujuan Legal Counsel dan memenuhi persyaratan UU Perlindungan Data Pribadi</w:t>
      </w:r>
    </w:p>
    <w:p>
      <w:pPr>
        <w:pStyle w:val="ListParagraph"/>
        <w:numPr>
          <w:ilvl w:val="0"/>
          <w:numId w:val="2"/>
        </w:numPr>
        <w:spacing w:after="40" w:before="40"/>
      </w:pPr>
      <w:r>
        <w:rPr>
          <w:rFonts w:ascii="Arial" w:cs="Arial" w:eastAsia="Arial" w:hAnsi="Arial"/>
          <w:b w:val="false"/>
          <w:bCs w:val="false"/>
          <w:color w:val="000000"/>
          <w:sz w:val="20"/>
          <w:szCs w:val="20"/>
        </w:rPr>
        <w:t xml:space="preserve">Informasi yang bersifat rahasia komersial harus dilindungi sesuai peraturan yang berlaku</w:t>
      </w:r>
    </w:p>
    <w:p>
      <w:pPr>
        <w:pStyle w:val="ListParagraph"/>
        <w:numPr>
          <w:ilvl w:val="0"/>
          <w:numId w:val="2"/>
        </w:numPr>
        <w:spacing w:after="40" w:before="40"/>
      </w:pPr>
      <w:r>
        <w:rPr>
          <w:rFonts w:ascii="Arial" w:cs="Arial" w:eastAsia="Arial" w:hAnsi="Arial"/>
          <w:b w:val="false"/>
          <w:bCs w:val="false"/>
          <w:color w:val="000000"/>
          <w:sz w:val="20"/>
          <w:szCs w:val="20"/>
        </w:rPr>
        <w:t xml:space="preserve">Setiap permintaan data atau informasi secara mendadak (tanpa pemberitahuan) harus segera dieskalasikan ke Legal Counsel dan Direktur Utama</w:t>
      </w:r>
    </w:p>
    <w:p>
      <w:pPr>
        <w:spacing w:after="80" w:before="80"/>
      </w:pPr>
      <w:r>
        <w:t xml:space="preserve"/>
      </w:r>
    </w:p>
    <w:p>
      <w:pPr>
        <w:pStyle w:val="Heading1"/>
        <w:shd w:fill="1B3A6B" w:val="clear"/>
        <w:spacing w:after="160" w:before="280"/>
        <w:ind w:left="240"/>
      </w:pPr>
      <w:r>
        <w:rPr>
          <w:rFonts w:ascii="Arial" w:cs="Arial" w:eastAsia="Arial" w:hAnsi="Arial"/>
          <w:b/>
          <w:bCs/>
          <w:color w:val="FFFFFF"/>
          <w:sz w:val="32"/>
          <w:szCs w:val="32"/>
        </w:rPr>
        <w:t xml:space="preserve">6. PERAN DAN TANGGUNG JAWAB</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Tanggung Jawab</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Direktur Utama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Memberikan persetujuan akhir untuk komunikasi strategis dengan pihak berwenang; mewakili perusahaan dalam pertemuan tingkat tinggi dengan regulator.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Mengkoordinasikan seluruh interaksi dengan OJK, BI, dan PPATK; memastikan kepatuhan pelaporan regulasi; mengelola jadwal dan arsip korespondensi dengan regulator.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CISO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Mengelola komunikasi dengan BSSN dan Kominfo terkait insiden keamanan siber; memimpin pelaporan insiden keamanan informasi; memastikan SLA pelaporan terpenuhi.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Legal Counsel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Meninjau dan menyetujui seluruh dokumen yang diserahkan kepada pihak berwenang; mengelola komunikasi dengan aparat penegak hukum dan pengadilan; memberikan nasihat hukum terkait permintaan informasi dari pihak berwenang.</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Chief Financial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Mengelola komunikasi dengan DJP dan otoritas keuangan lainnya; memastikan kepatuhan pelaporan pajak dan keuangan.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Seluruh Karyawan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Melaporkan segera kepada atasan langsung dan PIC terkait jika menerima permintaan atau komunikasi dari pihak berwenang; tidak memberikan informasi perusahaan kepada pihak luar tanpa otorisasi.</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7. PEMANTAUAN, REVIEW, DAN AUDIT</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Kepatuhan terhadap kebijakan ini dipantau melalui:</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tahunan oleh Chief Compliance Officer dan CISO</w:t>
      </w:r>
    </w:p>
    <w:p>
      <w:pPr>
        <w:pStyle w:val="ListParagraph"/>
        <w:numPr>
          <w:ilvl w:val="0"/>
          <w:numId w:val="2"/>
        </w:numPr>
        <w:spacing w:after="40" w:before="40"/>
      </w:pPr>
      <w:r>
        <w:rPr>
          <w:rFonts w:ascii="Arial" w:cs="Arial" w:eastAsia="Arial" w:hAnsi="Arial"/>
          <w:b w:val="false"/>
          <w:bCs w:val="false"/>
          <w:color w:val="000000"/>
          <w:sz w:val="20"/>
          <w:szCs w:val="20"/>
        </w:rPr>
        <w:t xml:space="preserve">Audit internal SMKI yang dilakukan minimal setahun sekali</w:t>
      </w:r>
    </w:p>
    <w:p>
      <w:pPr>
        <w:pStyle w:val="ListParagraph"/>
        <w:numPr>
          <w:ilvl w:val="0"/>
          <w:numId w:val="2"/>
        </w:numPr>
        <w:spacing w:after="40" w:before="40"/>
      </w:pPr>
      <w:r>
        <w:rPr>
          <w:rFonts w:ascii="Arial" w:cs="Arial" w:eastAsia="Arial" w:hAnsi="Arial"/>
          <w:b w:val="false"/>
          <w:bCs w:val="false"/>
          <w:color w:val="000000"/>
          <w:sz w:val="20"/>
          <w:szCs w:val="20"/>
        </w:rPr>
        <w:t xml:space="preserve">Audit eksternal dalam rangka sertifikasi ISO 27001:2022</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insidentil jika terjadi perubahan regulasi yang signifikan atau insiden keamanan informasi</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akan diperbarui apabila terjadi:</w:t>
      </w:r>
    </w:p>
    <w:p>
      <w:pPr>
        <w:pStyle w:val="ListParagraph"/>
        <w:numPr>
          <w:ilvl w:val="0"/>
          <w:numId w:val="2"/>
        </w:numPr>
        <w:spacing w:after="40" w:before="40"/>
      </w:pPr>
      <w:r>
        <w:rPr>
          <w:rFonts w:ascii="Arial" w:cs="Arial" w:eastAsia="Arial" w:hAnsi="Arial"/>
          <w:b w:val="false"/>
          <w:bCs w:val="false"/>
          <w:color w:val="000000"/>
          <w:sz w:val="20"/>
          <w:szCs w:val="20"/>
        </w:rPr>
        <w:t xml:space="preserve">Perubahan peraturan perundang-undangan yang berlaku</w:t>
      </w:r>
    </w:p>
    <w:p>
      <w:pPr>
        <w:pStyle w:val="ListParagraph"/>
        <w:numPr>
          <w:ilvl w:val="0"/>
          <w:numId w:val="2"/>
        </w:numPr>
        <w:spacing w:after="40" w:before="40"/>
      </w:pPr>
      <w:r>
        <w:rPr>
          <w:rFonts w:ascii="Arial" w:cs="Arial" w:eastAsia="Arial" w:hAnsi="Arial"/>
          <w:b w:val="false"/>
          <w:bCs w:val="false"/>
          <w:color w:val="000000"/>
          <w:sz w:val="20"/>
          <w:szCs w:val="20"/>
        </w:rPr>
        <w:t xml:space="preserve">Perubahan struktur organisasi yang mempengaruhi PIC</w:t>
      </w:r>
    </w:p>
    <w:p>
      <w:pPr>
        <w:pStyle w:val="ListParagraph"/>
        <w:numPr>
          <w:ilvl w:val="0"/>
          <w:numId w:val="2"/>
        </w:numPr>
        <w:spacing w:after="40" w:before="40"/>
      </w:pPr>
      <w:r>
        <w:rPr>
          <w:rFonts w:ascii="Arial" w:cs="Arial" w:eastAsia="Arial" w:hAnsi="Arial"/>
          <w:b w:val="false"/>
          <w:bCs w:val="false"/>
          <w:color w:val="000000"/>
          <w:sz w:val="20"/>
          <w:szCs w:val="20"/>
        </w:rPr>
        <w:t xml:space="preserve">Temuan signifikan dari audit internal atau eksternal</w:t>
      </w:r>
    </w:p>
    <w:p>
      <w:pPr>
        <w:pStyle w:val="ListParagraph"/>
        <w:numPr>
          <w:ilvl w:val="0"/>
          <w:numId w:val="2"/>
        </w:numPr>
        <w:spacing w:after="40" w:before="40"/>
      </w:pPr>
      <w:r>
        <w:rPr>
          <w:rFonts w:ascii="Arial" w:cs="Arial" w:eastAsia="Arial" w:hAnsi="Arial"/>
          <w:b w:val="false"/>
          <w:bCs w:val="false"/>
          <w:color w:val="000000"/>
          <w:sz w:val="20"/>
          <w:szCs w:val="20"/>
        </w:rPr>
        <w:t xml:space="preserve">Pelajaran yang diperoleh dari insiden keamanan informasi</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8. KONSEKUENSI PELANGGARAN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Pelanggaran terhadap kebijakan ini dapat mengakibatkan:</w:t>
      </w:r>
    </w:p>
    <w:p>
      <w:pPr>
        <w:pStyle w:val="ListParagraph"/>
        <w:numPr>
          <w:ilvl w:val="0"/>
          <w:numId w:val="2"/>
        </w:numPr>
        <w:spacing w:after="40" w:before="40"/>
      </w:pPr>
      <w:r>
        <w:rPr>
          <w:rFonts w:ascii="Arial" w:cs="Arial" w:eastAsia="Arial" w:hAnsi="Arial"/>
          <w:b w:val="false"/>
          <w:bCs w:val="false"/>
          <w:color w:val="000000"/>
          <w:sz w:val="20"/>
          <w:szCs w:val="20"/>
        </w:rPr>
        <w:t xml:space="preserve">Tindakan disiplin sesuai Peraturan Perusahaan yang berlaku, mulai dari surat peringatan hingga pemutusan hubungan kerja</w:t>
      </w:r>
    </w:p>
    <w:p>
      <w:pPr>
        <w:pStyle w:val="ListParagraph"/>
        <w:numPr>
          <w:ilvl w:val="0"/>
          <w:numId w:val="2"/>
        </w:numPr>
        <w:spacing w:after="40" w:before="40"/>
      </w:pPr>
      <w:r>
        <w:rPr>
          <w:rFonts w:ascii="Arial" w:cs="Arial" w:eastAsia="Arial" w:hAnsi="Arial"/>
          <w:b w:val="false"/>
          <w:bCs w:val="false"/>
          <w:color w:val="000000"/>
          <w:sz w:val="20"/>
          <w:szCs w:val="20"/>
        </w:rPr>
        <w:t xml:space="preserve">Tanggung jawab hukum secara pribadi maupun institusional</w:t>
      </w:r>
    </w:p>
    <w:p>
      <w:pPr>
        <w:pStyle w:val="ListParagraph"/>
        <w:numPr>
          <w:ilvl w:val="0"/>
          <w:numId w:val="2"/>
        </w:numPr>
        <w:spacing w:after="40" w:before="40"/>
      </w:pPr>
      <w:r>
        <w:rPr>
          <w:rFonts w:ascii="Arial" w:cs="Arial" w:eastAsia="Arial" w:hAnsi="Arial"/>
          <w:b w:val="false"/>
          <w:bCs w:val="false"/>
          <w:color w:val="000000"/>
          <w:sz w:val="20"/>
          <w:szCs w:val="20"/>
        </w:rPr>
        <w:t xml:space="preserve">Sanksi regulasi dari OJK dan otoritas terkait</w:t>
      </w:r>
    </w:p>
    <w:p>
      <w:pPr>
        <w:pStyle w:val="ListParagraph"/>
        <w:numPr>
          <w:ilvl w:val="0"/>
          <w:numId w:val="2"/>
        </w:numPr>
        <w:spacing w:after="40" w:before="40"/>
      </w:pPr>
      <w:r>
        <w:rPr>
          <w:rFonts w:ascii="Arial" w:cs="Arial" w:eastAsia="Arial" w:hAnsi="Arial"/>
          <w:b w:val="false"/>
          <w:bCs w:val="false"/>
          <w:color w:val="000000"/>
          <w:sz w:val="20"/>
          <w:szCs w:val="20"/>
        </w:rPr>
        <w:t xml:space="preserve">Kerugian reputasi bagi perusahaan</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9. RIWAYAT DAN PERSETUJUAN DOKUMEN</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000"/>
        <w:gridCol w:w="2000"/>
      </w:tblGrid>
      <w:tr>
        <w:trPr>
          <w:tblHeader/>
        </w:trPr>
        <w:tc>
          <w:tcPr>
            <w:tcW w:type="dxa" w:w="9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w:t>
            </w:r>
          </w:p>
        </w:tc>
        <w:tc>
          <w:tcPr>
            <w:tcW w:type="dxa" w:w="15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Tanggal</w:t>
            </w:r>
          </w:p>
        </w:tc>
        <w:tc>
          <w:tcPr>
            <w:tcW w:type="dxa" w:w="40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Perubahan</w:t>
            </w:r>
          </w:p>
        </w:tc>
        <w:tc>
          <w:tcPr>
            <w:tcW w:type="dxa" w:w="20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Disetujui Oleh</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 Mar 2026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Penerbitan pertama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Utama</w:t>
            </w:r>
          </w:p>
        </w:tc>
      </w:tr>
    </w:tbl>
    <w:p>
      <w:pPr>
        <w:spacing w:after="80" w:before="1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Disiapkan Oleh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Diperiksa Oleh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Disetujui Oleh</w:t>
            </w:r>
          </w:p>
        </w:tc>
      </w:tr>
      <w:tr>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CISO</w:t>
            </w:r>
          </w:p>
          <w:p>
            <w:r>
              <w:rPr>
                <w:rFonts w:ascii="Arial" w:cs="Arial" w:eastAsia="Arial" w:hAnsi="Arial"/>
                <w:color w:val="B0B8C4"/>
                <w:sz w:val="18"/>
                <w:szCs w:val="18"/>
              </w:rPr>
              <w:t xml:space="preserve">PT Equity Life Indonesia</w:t>
            </w:r>
          </w:p>
        </w:tc>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Chief Compliance Officer</w:t>
            </w:r>
          </w:p>
          <w:p>
            <w:r>
              <w:rPr>
                <w:rFonts w:ascii="Arial" w:cs="Arial" w:eastAsia="Arial" w:hAnsi="Arial"/>
                <w:color w:val="B0B8C4"/>
                <w:sz w:val="18"/>
                <w:szCs w:val="18"/>
              </w:rPr>
              <w:t xml:space="preserve">PT Equity Life Indonesia</w:t>
            </w:r>
          </w:p>
        </w:tc>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Direktur Utama</w:t>
            </w:r>
          </w:p>
          <w:p>
            <w:r>
              <w:rPr>
                <w:rFonts w:ascii="Arial" w:cs="Arial" w:eastAsia="Arial" w:hAnsi="Arial"/>
                <w:color w:val="B0B8C4"/>
                <w:sz w:val="18"/>
                <w:szCs w:val="18"/>
              </w:rPr>
              <w:t xml:space="preserve">PT Equity Life Indonesia</w:t>
            </w:r>
          </w:p>
        </w:tc>
      </w:tr>
    </w:tbl>
    <w:p>
      <w:pPr>
        <w:spacing w:after="80" w:before="80"/>
      </w:pPr>
      <w:r>
        <w:t xml:space="preserve"/>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pBdr>
      <w:tabs>
        <w:tab w:val="right" w:pos="9360"/>
      </w:tabs>
      <w:spacing w:before="80"/>
    </w:pPr>
    <w:r>
      <w:rPr>
        <w:rFonts w:ascii="Arial" w:cs="Arial" w:eastAsia="Arial" w:hAnsi="Arial"/>
        <w:color w:val="B0B8C4"/>
        <w:sz w:val="16"/>
        <w:szCs w:val="16"/>
      </w:rPr>
      <w:t xml:space="preserve">Kebijakan Kontak dengan Pihak Berwenang | Rahasia Internal</w:t>
    </w:r>
    <w:r>
      <w:rPr>
        <w:rFonts w:ascii="Arial" w:cs="Arial" w:eastAsia="Arial" w:hAnsi="Arial"/>
        <w:sz w:val="16"/>
        <w:szCs w:val="16"/>
      </w:rPr>
      <w:t xml:space="preserve">	</w:t>
    </w:r>
    <w:r>
      <w:rPr>
        <w:rFonts w:ascii="Arial" w:cs="Arial" w:eastAsia="Arial" w:hAnsi="Arial"/>
        <w:color w:val="B0B8C4"/>
        <w:sz w:val="16"/>
        <w:szCs w:val="16"/>
      </w:rPr>
      <w:t xml:space="preserve">Halaman </w:t>
    </w:r>
    <w:r>
      <w:rPr>
        <w:rFonts w:ascii="Arial" w:cs="Arial" w:eastAsia="Arial" w:hAnsi="Arial"/>
        <w:color w:val="B0B8C4"/>
        <w:sz w:val="16"/>
        <w:szCs w:val="16"/>
      </w:rPr>
      <w:fldChar w:fldCharType="begin"/>
      <w:instrText xml:space="preserve">PAGE</w:instrText>
      <w:fldChar w:fldCharType="separate"/>
      <w:fldChar w:fldCharType="end"/>
    </w:r>
    <w:r>
      <w:rPr>
        <w:rFonts w:ascii="Arial" w:cs="Arial" w:eastAsia="Arial" w:hAnsi="Arial"/>
        <w:color w:val="B0B8C4"/>
        <w:sz w:val="16"/>
        <w:szCs w:val="16"/>
      </w:rPr>
      <w:t xml:space="preserve"> dari </w:t>
    </w:r>
    <w:r>
      <w:rPr>
        <w:rFonts w:ascii="Arial" w:cs="Arial" w:eastAsia="Arial" w:hAnsi="Arial"/>
        <w:color w:val="B0B8C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tcPr>
        <w:p>
          <w:r>
            <w:rPr>
              <w:rFonts w:ascii="Arial" w:cs="Arial" w:eastAsia="Arial" w:hAnsi="Arial"/>
              <w:b/>
              <w:bCs/>
              <w:color w:val="FFFFFF"/>
              <w:sz w:val="18"/>
              <w:szCs w:val="18"/>
            </w:rPr>
            <w:t xml:space="preserve">PT EQUITY LIFE INDONESIA | SMKI</w:t>
          </w:r>
        </w:p>
      </w:tc>
      <w:tc>
        <w:tcPr>
          <w:tcBorders>
            <w:top w:val="none" w:color="FFFFFF" w:sz="0"/>
            <w:left w:val="none" w:color="FFFFFF" w:sz="0"/>
            <w:bottom w:val="none" w:color="FFFFFF" w:sz="0"/>
            <w:right w:val="none" w:color="FFFFFF" w:sz="0"/>
          </w:tcBorders>
          <w:shd w:fill="2563A8" w:val="clear"/>
          <w:tcMar>
            <w:top w:type="dxa" w:w="80"/>
            <w:left w:type="dxa" w:w="180"/>
            <w:bottom w:type="dxa" w:w="80"/>
            <w:right w:type="dxa" w:w="180"/>
          </w:tcMar>
          <w:vAlign w:val="center"/>
        </w:tcPr>
        <w:p>
          <w:pPr>
            <w:jc w:val="right"/>
          </w:pPr>
          <w:r>
            <w:rPr>
              <w:rFonts w:ascii="Arial" w:cs="Arial" w:eastAsia="Arial" w:hAnsi="Arial"/>
              <w:b w:val="false"/>
              <w:bCs w:val="false"/>
              <w:color w:val="FFFFFF"/>
              <w:sz w:val="16"/>
              <w:szCs w:val="16"/>
            </w:rPr>
            <w:t xml:space="preserve">ISMS-POL-OR-001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2026-03-15T21:43:17.920Z</dcterms:created>
  <dcterms:modified xsi:type="dcterms:W3CDTF">2026-03-15T21:43:17.920Z</dcterms:modified>
</cp:coreProperties>
</file>

<file path=docProps/custom.xml><?xml version="1.0" encoding="utf-8"?>
<Properties xmlns="http://schemas.openxmlformats.org/officeDocument/2006/custom-properties" xmlns:vt="http://schemas.openxmlformats.org/officeDocument/2006/docPropsVTypes"/>
</file>