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sz w:val="4"/>
          <w:szCs w:val="4"/>
        </w:rPr>
        <w:t xml:space="preserve"> </w:t>
      </w:r>
    </w:p>
    <w:p>
      <w:pPr>
        <w:spacing w:after="200" w:before="800"/>
      </w:pPr>
      <w:r>
        <w:t xml:space="preserve"/>
      </w:r>
    </w:p>
    <w:p>
      <w:pPr>
        <w:jc w:val="center"/>
      </w:pPr>
      <w:r>
        <w:rPr>
          <w:rFonts w:ascii="Arial" w:cs="Arial" w:eastAsia="Arial" w:hAnsi="Arial"/>
          <w:b/>
          <w:bCs/>
          <w:color w:val="1B3A6B"/>
          <w:sz w:val="36"/>
          <w:szCs w:val="36"/>
        </w:rPr>
        <w:t xml:space="preserve">PT EQUITY LIFE INDONESIA</w:t>
      </w:r>
    </w:p>
    <w:p>
      <w:pPr>
        <w:jc w:val="center"/>
      </w:pPr>
      <w:r>
        <w:rPr>
          <w:rFonts w:ascii="Arial" w:cs="Arial" w:eastAsia="Arial" w:hAnsi="Arial"/>
          <w:b w:val="false"/>
          <w:bCs w:val="false"/>
          <w:color w:val="2563A8"/>
          <w:sz w:val="24"/>
          <w:szCs w:val="24"/>
        </w:rPr>
        <w:t xml:space="preserve">Sistem Manajemen Keamanan Informasi</w:t>
      </w:r>
    </w:p>
    <w:p>
      <w:pPr>
        <w:spacing w:after="200" w:before="300"/>
      </w:pPr>
      <w:r>
        <w:t xml:space="preserve"/>
      </w:r>
    </w:p>
    <w:p>
      <w:pPr>
        <w:jc w:val="center"/>
      </w:pPr>
      <w:r>
        <w:rPr>
          <w:rFonts w:ascii="Arial" w:cs="Arial" w:eastAsia="Arial" w:hAnsi="Arial"/>
          <w:color w:val="D6E4F7"/>
          <w:sz w:val="20"/>
          <w:szCs w:val="20"/>
        </w:rPr>
        <w:t xml:space="preserve">─────────────────────────────────────────</w:t>
      </w:r>
    </w:p>
    <w:p>
      <w:pPr>
        <w:spacing w:after="200" w:before="200"/>
      </w:pPr>
      <w:r>
        <w:t xml:space="preserve"/>
      </w:r>
    </w:p>
    <w:p>
      <w:pPr>
        <w:jc w:val="center"/>
      </w:pPr>
      <w:r>
        <w:rPr>
          <w:rFonts w:ascii="Arial" w:cs="Arial" w:eastAsia="Arial" w:hAnsi="Arial"/>
          <w:b/>
          <w:bCs/>
          <w:color w:val="1B3A6B"/>
          <w:sz w:val="40"/>
          <w:szCs w:val="40"/>
        </w:rPr>
        <w:t xml:space="preserve">Kebijakan Kontak dengan Kelompok Kepentingan Khusus</w:t>
      </w:r>
    </w:p>
    <w:p>
      <w:pPr>
        <w:spacing w:after="3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Nomor Dokumen</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ISMS-POL-OR-002</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Versi</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1.0</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Tanggal Efektif</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16 Maret 2026</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Klasifikasi</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INTERNAL</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Referensi ISO</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ISO 27001:2022 Annex A 6.2</w:t>
            </w:r>
          </w:p>
        </w:tc>
      </w:tr>
    </w:tbl>
    <w:p>
      <w:pPr>
        <w:spacing w:after="200" w:before="400"/>
      </w:pPr>
      <w:r>
        <w:t xml:space="preserve"/>
      </w:r>
    </w:p>
    <w:p>
      <w:pPr>
        <w:jc w:val="center"/>
      </w:pPr>
      <w:r>
        <w:rPr>
          <w:rFonts w:ascii="Arial" w:cs="Arial" w:eastAsia="Arial" w:hAnsi="Arial"/>
          <w:color w:val="D6E4F7"/>
          <w:sz w:val="20"/>
          <w:szCs w:val="20"/>
        </w:rPr>
        <w:t xml:space="preserve">─────────────────────────────────────────</w:t>
      </w:r>
    </w:p>
    <w:p>
      <w:pPr>
        <w:spacing w:after="200" w:before="200"/>
      </w:pPr>
      <w:r>
        <w:t xml:space="preserve"/>
      </w:r>
    </w:p>
    <w:p>
      <w:pPr>
        <w:jc w:val="center"/>
      </w:pPr>
      <w:r>
        <w:rPr>
          <w:rFonts w:ascii="Arial" w:cs="Arial" w:eastAsia="Arial" w:hAnsi="Arial"/>
          <w:color w:val="B0B8C4"/>
          <w:sz w:val="18"/>
          <w:szCs w:val="18"/>
        </w:rPr>
        <w:t xml:space="preserve">Dokumen ini merupakan milik PT Equity Life Indonesia</w:t>
      </w:r>
    </w:p>
    <w:p>
      <w:pPr>
        <w:jc w:val="center"/>
      </w:pPr>
      <w:r>
        <w:rPr>
          <w:rFonts w:ascii="Arial" w:cs="Arial" w:eastAsia="Arial" w:hAnsi="Arial"/>
          <w:color w:val="B0B8C4"/>
          <w:sz w:val="18"/>
          <w:szCs w:val="18"/>
        </w:rPr>
        <w:t xml:space="preserve">Dilarang menyebarluaskan tanpa izin tertulis</w:t>
      </w:r>
    </w:p>
    <w:p>
      <w:pPr>
        <w:spacing w:after="100" w:before="600"/>
      </w:pPr>
      <w:r>
        <w:t xml:space="preserve"/>
      </w:r>
    </w:p>
    <w:p>
      <w:r>
        <w:br w:type="page"/>
      </w:r>
    </w:p>
    <w:p>
      <w:pPr>
        <w:pStyle w:val="Heading1"/>
        <w:shd w:fill="1B3A6B" w:val="clear"/>
        <w:spacing w:after="160" w:before="280"/>
        <w:ind w:left="240"/>
      </w:pPr>
      <w:r>
        <w:rPr>
          <w:rFonts w:ascii="Arial" w:cs="Arial" w:eastAsia="Arial" w:hAnsi="Arial"/>
          <w:b/>
          <w:bCs/>
          <w:color w:val="FFFFFF"/>
          <w:sz w:val="32"/>
          <w:szCs w:val="32"/>
        </w:rPr>
        <w:t xml:space="preserve">1. TUJUAN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bertujuan untuk mengatur partisipasi PT Equity Life Indonesia dalam kelompok kepentingan khusus (special interest groups/SIGs), forum industri, asosiasi profesional, dan komunitas praktisi terkait keamanan informasi, dengan tujuan meningkatkan kapabilitas keamanan informasi perusahaan, berbagi intelijen ancaman, serta memastikan kepatuhan dan kesiapan terhadap perkembangan lanskap keamanan siber yang terus berubah.</w:t>
      </w:r>
    </w:p>
    <w:p>
      <w:pPr>
        <w:spacing w:after="80" w:before="80"/>
      </w:pPr>
      <w:r>
        <w:t xml:space="preserve"/>
      </w:r>
    </w:p>
    <w:p>
      <w:pPr>
        <w:pStyle w:val="Heading1"/>
        <w:shd w:fill="1B3A6B" w:val="clear"/>
        <w:spacing w:after="160" w:before="280"/>
        <w:ind w:left="240"/>
      </w:pPr>
      <w:r>
        <w:rPr>
          <w:rFonts w:ascii="Arial" w:cs="Arial" w:eastAsia="Arial" w:hAnsi="Arial"/>
          <w:b/>
          <w:bCs/>
          <w:color w:val="FFFFFF"/>
          <w:sz w:val="32"/>
          <w:szCs w:val="32"/>
        </w:rPr>
        <w:t xml:space="preserve">2. RUANG LINGKUP</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berlaku untuk:</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karyawan PT Equity Life Indonesia yang berpartisipasi dalam forum, asosiasi, atau komunitas eksternal</w:t>
      </w:r>
    </w:p>
    <w:p>
      <w:pPr>
        <w:pStyle w:val="ListParagraph"/>
        <w:numPr>
          <w:ilvl w:val="0"/>
          <w:numId w:val="2"/>
        </w:numPr>
        <w:spacing w:after="40" w:before="40"/>
      </w:pPr>
      <w:r>
        <w:rPr>
          <w:rFonts w:ascii="Arial" w:cs="Arial" w:eastAsia="Arial" w:hAnsi="Arial"/>
          <w:b w:val="false"/>
          <w:bCs w:val="false"/>
          <w:color w:val="000000"/>
          <w:sz w:val="20"/>
          <w:szCs w:val="20"/>
        </w:rPr>
        <w:t xml:space="preserve">Fungsi IT Security, Compliance, Risk Management, dan Legal</w:t>
      </w:r>
    </w:p>
    <w:p>
      <w:pPr>
        <w:pStyle w:val="ListParagraph"/>
        <w:numPr>
          <w:ilvl w:val="0"/>
          <w:numId w:val="2"/>
        </w:numPr>
        <w:spacing w:after="40" w:before="40"/>
      </w:pPr>
      <w:r>
        <w:rPr>
          <w:rFonts w:ascii="Arial" w:cs="Arial" w:eastAsia="Arial" w:hAnsi="Arial"/>
          <w:b w:val="false"/>
          <w:bCs w:val="false"/>
          <w:color w:val="000000"/>
          <w:sz w:val="20"/>
          <w:szCs w:val="20"/>
        </w:rPr>
        <w:t xml:space="preserve">Manajemen yang mewakili perusahaan dalam forum industri</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mencakup jenis keterlibatan dengan: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Kategori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Contoh Kelompok/Forum</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Forum Keamanan Siber &amp; SMKI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ID-CERT (Indonesia Computer Emergency Response Team), BSSN Cyber Community, Indonesia Security Incident Response Team on Internet Infrastructure (ID-SIRTII)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Asosiasi Industri Asuransi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Asosiasi Asuransi Jiwa Indonesia (AAJI), Federasi Asuransi Internasional (IAA), Asosiasi Asuransi Umum Indonesia (AAUI)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Forum Jasa Keuangan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Forum Komunikasi Industri Jasa Keuangan OJK, Indonesia Fintech Association, Financial Services Information Sharing and Analysis Center (FS-ISAC)</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Komunitas Profesional Teknologi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ISACA Indonesia Chapter, (ISC)2 Indonesia Chapter, Cloud Security Alliance Indonesia, OWASP Indonesia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Forum Privasi &amp; Data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Forum Perlindungan Data Pribadi, IAPP Indonesia Network, Asia-Pacific Privacy Authorities (APPA)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Badan Standar &amp; Sertifikasi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Komite Teknis BSN ISO/IEC JTC 1/SC 27, Badan Standardisasi Nasional (BSN)</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3. REFERENSI REGULASI DAN STANDAR</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Referensi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Keterangan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Annex A 6.2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Contact with special interest groups</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27002:2022 Klausul 6.2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Panduan implementasi keterlibatan dengan kelompok kepentingan khusus</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 No. 27 Tahun 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Perlindungan Data Pribadi - terkait berbagi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SEOJK No. 29/SEOJK.05/2022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Keamanan Siber Bagi Pelaku Usaha Jasa Keuangan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POJK No. 69/POJK.05/2016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Penyelenggaraan Usaha Perusahaan Asuransi Jiwa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Peraturan OJK No. 38/POJK.03/2016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Penerapan Manajemen Risiko Dalam Penggunaan Teknologi Informasi</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4. DEFINISI</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Istilah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Definisi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Kelompok Kepentingan Khusus (SIG)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Organisasi, forum, komunitas, atau asosiasi yang berfokus pada topik tertentu yang relevan dengan keamanan informasi atau industri jasa keuangan/asuransi, di mana anggota berbagi pengetahuan, praktik terbaik, dan informasi ancaman.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Threat Intelligence</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Informasi yang terverifikasi tentang ancaman siber, kerentanan, dan taktik/teknik/prosedur (TTP) penyerang yang digunakan untuk memperkuat postur keamanan organisasi.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Information Sharing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Aktivitas berbagi informasi yang relevan dengan keamanan siber, termasuk indikator kompromi (IoC), kerentanan yang ditemukan, atau praktik terbaik, dengan anggota komunitas terpercaya.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Keanggotaan Aktif</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Partisipasi resmi dan terdaftar dalam sebuah kelompok kepentingan khusus yang mencakup hak dan kewajiban berbagi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Representatif Resmi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Karyawan PT Equity Life Indonesia yang ditunjuk secara resmi untuk mewakili perusahaan dalam forum atau kelompok kepentingan tertentu.</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5. PERNYATAAN KEBIJAKAN</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5.1 Manfaat Partisipasi</w:t>
      </w:r>
    </w:p>
    <w:p>
      <w:pPr>
        <w:spacing w:after="80" w:before="60"/>
      </w:pPr>
      <w:r>
        <w:rPr>
          <w:rFonts w:ascii="Arial" w:cs="Arial" w:eastAsia="Arial" w:hAnsi="Arial"/>
          <w:b w:val="false"/>
          <w:bCs w:val="false"/>
          <w:i w:val="false"/>
          <w:iCs w:val="false"/>
          <w:color w:val="000000"/>
          <w:sz w:val="20"/>
          <w:szCs w:val="20"/>
        </w:rPr>
        <w:t xml:space="preserve">Partisipasi dalam kelompok kepentingan khusus memberikan manfaat strategis bagi PT Equity Life Indonesia, meliputi:</w:t>
      </w:r>
    </w:p>
    <w:p>
      <w:pPr>
        <w:pStyle w:val="ListParagraph"/>
        <w:numPr>
          <w:ilvl w:val="0"/>
          <w:numId w:val="2"/>
        </w:numPr>
        <w:spacing w:after="40" w:before="40"/>
      </w:pPr>
      <w:r>
        <w:rPr>
          <w:rFonts w:ascii="Arial" w:cs="Arial" w:eastAsia="Arial" w:hAnsi="Arial"/>
          <w:b w:val="false"/>
          <w:bCs w:val="false"/>
          <w:color w:val="000000"/>
          <w:sz w:val="20"/>
          <w:szCs w:val="20"/>
        </w:rPr>
        <w:t xml:space="preserve">Akses terhadap informasi ancaman siber terkini yang relevan bagi industri asuransi jiwa</w:t>
      </w:r>
    </w:p>
    <w:p>
      <w:pPr>
        <w:pStyle w:val="ListParagraph"/>
        <w:numPr>
          <w:ilvl w:val="0"/>
          <w:numId w:val="2"/>
        </w:numPr>
        <w:spacing w:after="40" w:before="40"/>
      </w:pPr>
      <w:r>
        <w:rPr>
          <w:rFonts w:ascii="Arial" w:cs="Arial" w:eastAsia="Arial" w:hAnsi="Arial"/>
          <w:b w:val="false"/>
          <w:bCs w:val="false"/>
          <w:color w:val="000000"/>
          <w:sz w:val="20"/>
          <w:szCs w:val="20"/>
        </w:rPr>
        <w:t xml:space="preserve">Pembelajaran tentang praktik terbaik (best practices) keamanan informasi dari organisasi sejenis</w:t>
      </w:r>
    </w:p>
    <w:p>
      <w:pPr>
        <w:pStyle w:val="ListParagraph"/>
        <w:numPr>
          <w:ilvl w:val="0"/>
          <w:numId w:val="2"/>
        </w:numPr>
        <w:spacing w:after="40" w:before="40"/>
      </w:pPr>
      <w:r>
        <w:rPr>
          <w:rFonts w:ascii="Arial" w:cs="Arial" w:eastAsia="Arial" w:hAnsi="Arial"/>
          <w:b w:val="false"/>
          <w:bCs w:val="false"/>
          <w:color w:val="000000"/>
          <w:sz w:val="20"/>
          <w:szCs w:val="20"/>
        </w:rPr>
        <w:t xml:space="preserve">Peringatan dini (early warning) terkait kerentanan dan ancaman yang sedang berkembang</w:t>
      </w:r>
    </w:p>
    <w:p>
      <w:pPr>
        <w:pStyle w:val="ListParagraph"/>
        <w:numPr>
          <w:ilvl w:val="0"/>
          <w:numId w:val="2"/>
        </w:numPr>
        <w:spacing w:after="40" w:before="40"/>
      </w:pPr>
      <w:r>
        <w:rPr>
          <w:rFonts w:ascii="Arial" w:cs="Arial" w:eastAsia="Arial" w:hAnsi="Arial"/>
          <w:b w:val="false"/>
          <w:bCs w:val="false"/>
          <w:color w:val="000000"/>
          <w:sz w:val="20"/>
          <w:szCs w:val="20"/>
        </w:rPr>
        <w:t xml:space="preserve">Kolaborasi dalam pengembangan standar keamanan industri</w:t>
      </w:r>
    </w:p>
    <w:p>
      <w:pPr>
        <w:pStyle w:val="ListParagraph"/>
        <w:numPr>
          <w:ilvl w:val="0"/>
          <w:numId w:val="2"/>
        </w:numPr>
        <w:spacing w:after="40" w:before="40"/>
      </w:pPr>
      <w:r>
        <w:rPr>
          <w:rFonts w:ascii="Arial" w:cs="Arial" w:eastAsia="Arial" w:hAnsi="Arial"/>
          <w:b w:val="false"/>
          <w:bCs w:val="false"/>
          <w:color w:val="000000"/>
          <w:sz w:val="20"/>
          <w:szCs w:val="20"/>
        </w:rPr>
        <w:t xml:space="preserve">Peningkatan kompetensi dan pengetahuan tim keamanan informasi</w:t>
      </w:r>
    </w:p>
    <w:p>
      <w:pPr>
        <w:pStyle w:val="ListParagraph"/>
        <w:numPr>
          <w:ilvl w:val="0"/>
          <w:numId w:val="2"/>
        </w:numPr>
        <w:spacing w:after="40" w:before="40"/>
      </w:pPr>
      <w:r>
        <w:rPr>
          <w:rFonts w:ascii="Arial" w:cs="Arial" w:eastAsia="Arial" w:hAnsi="Arial"/>
          <w:b w:val="false"/>
          <w:bCs w:val="false"/>
          <w:color w:val="000000"/>
          <w:sz w:val="20"/>
          <w:szCs w:val="20"/>
        </w:rPr>
        <w:t xml:space="preserve">Penguatan reputasi PT Equity Life Indonesia sebagai organisasi yang peduli pada keamanan informasi</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5.2 Proses Persetujuan Keanggotaan</w:t>
      </w:r>
    </w:p>
    <w:p>
      <w:pPr>
        <w:spacing w:after="80" w:before="60"/>
      </w:pPr>
      <w:r>
        <w:rPr>
          <w:rFonts w:ascii="Arial" w:cs="Arial" w:eastAsia="Arial" w:hAnsi="Arial"/>
          <w:b w:val="false"/>
          <w:bCs w:val="false"/>
          <w:i w:val="false"/>
          <w:iCs w:val="false"/>
          <w:color w:val="000000"/>
          <w:sz w:val="20"/>
          <w:szCs w:val="20"/>
        </w:rPr>
        <w:t xml:space="preserve">Setiap keanggotaan dalam kelompok kepentingan khusus harus melalui proses persetujuan berikut:</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4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Langkah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Pihak yang Terlibat</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Tindakan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Unit yang Mengusulkan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Mengajukan proposal keanggotaan kepada CISO dengan menyertakan: nama forum, manfaat, biaya, dan kewajiban berbagi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Mengevaluasi relevansi forum terhadap risiko keamanan informasi perusahaan dan kesesuaian dengan strategi SMKI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Legal Counsel / DPO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Meninjau implikasi hukum terkait kewajiban berbagi informasi dan kepatuhan terhadap UU PDP</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Memverifikasi tidak ada konflik kepentingan atau pelanggaran regulasi OJK</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Manajemen Senior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Memberikan persetujuan akhir untuk keanggotaan baru; keanggotaan dengan biaya &gt; Rp 50 juta/tahun memerlukan persetujuan Direktur Utama</w:t>
            </w:r>
          </w:p>
        </w:tc>
      </w:tr>
    </w:tbl>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5.3 Penunjukan Representatif Resmi</w:t>
      </w:r>
    </w:p>
    <w:p>
      <w:pPr>
        <w:spacing w:after="80" w:before="60"/>
      </w:pPr>
      <w:r>
        <w:rPr>
          <w:rFonts w:ascii="Arial" w:cs="Arial" w:eastAsia="Arial" w:hAnsi="Arial"/>
          <w:b w:val="false"/>
          <w:bCs w:val="false"/>
          <w:i w:val="false"/>
          <w:iCs w:val="false"/>
          <w:color w:val="000000"/>
          <w:sz w:val="20"/>
          <w:szCs w:val="20"/>
        </w:rPr>
        <w:t xml:space="preserve">Setiap kelompok kepentingan khusus yang diikuti harus memiliki representatif resmi yang ditunjuk:</w:t>
      </w:r>
    </w:p>
    <w:p>
      <w:pPr>
        <w:pStyle w:val="ListParagraph"/>
        <w:numPr>
          <w:ilvl w:val="0"/>
          <w:numId w:val="2"/>
        </w:numPr>
        <w:spacing w:after="40" w:before="40"/>
      </w:pPr>
      <w:r>
        <w:rPr>
          <w:rFonts w:ascii="Arial" w:cs="Arial" w:eastAsia="Arial" w:hAnsi="Arial"/>
          <w:b w:val="false"/>
          <w:bCs w:val="false"/>
          <w:color w:val="000000"/>
          <w:sz w:val="20"/>
          <w:szCs w:val="20"/>
        </w:rPr>
        <w:t xml:space="preserve">Representatif utama dan satu orang pengganti (backup) untuk setiap forum</w:t>
      </w:r>
    </w:p>
    <w:p>
      <w:pPr>
        <w:pStyle w:val="ListParagraph"/>
        <w:numPr>
          <w:ilvl w:val="0"/>
          <w:numId w:val="2"/>
        </w:numPr>
        <w:spacing w:after="40" w:before="40"/>
      </w:pPr>
      <w:r>
        <w:rPr>
          <w:rFonts w:ascii="Arial" w:cs="Arial" w:eastAsia="Arial" w:hAnsi="Arial"/>
          <w:b w:val="false"/>
          <w:bCs w:val="false"/>
          <w:color w:val="000000"/>
          <w:sz w:val="20"/>
          <w:szCs w:val="20"/>
        </w:rPr>
        <w:t xml:space="preserve">Representatif harus memiliki kompetensi yang sesuai dengan topik forum</w:t>
      </w:r>
    </w:p>
    <w:p>
      <w:pPr>
        <w:pStyle w:val="ListParagraph"/>
        <w:numPr>
          <w:ilvl w:val="0"/>
          <w:numId w:val="2"/>
        </w:numPr>
        <w:spacing w:after="40" w:before="40"/>
      </w:pPr>
      <w:r>
        <w:rPr>
          <w:rFonts w:ascii="Arial" w:cs="Arial" w:eastAsia="Arial" w:hAnsi="Arial"/>
          <w:b w:val="false"/>
          <w:bCs w:val="false"/>
          <w:color w:val="000000"/>
          <w:sz w:val="20"/>
          <w:szCs w:val="20"/>
        </w:rPr>
        <w:t xml:space="preserve">Penunjukan representatif dilakukan oleh kepala unit yang relevan dan disetujui oleh CISO</w:t>
      </w:r>
    </w:p>
    <w:p>
      <w:pPr>
        <w:pStyle w:val="ListParagraph"/>
        <w:numPr>
          <w:ilvl w:val="0"/>
          <w:numId w:val="2"/>
        </w:numPr>
        <w:spacing w:after="40" w:before="40"/>
      </w:pPr>
      <w:r>
        <w:rPr>
          <w:rFonts w:ascii="Arial" w:cs="Arial" w:eastAsia="Arial" w:hAnsi="Arial"/>
          <w:b w:val="false"/>
          <w:bCs w:val="false"/>
          <w:color w:val="000000"/>
          <w:sz w:val="20"/>
          <w:szCs w:val="20"/>
        </w:rPr>
        <w:t xml:space="preserve">Representatif bertanggung jawab melaporkan perkembangan forum kepada CISO secara berkala</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Jenis Forum</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Representatif Utama</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Representatif Backup</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Forum Keamanan Siber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 / VP IT Security</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Senior IT Security Analyst</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Asosiasi Industri Asuransi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Utama / 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Compliance</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Forum Jasa Keuangan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Risk Management</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Komunitas Profesional IT</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IT / VP IT Security</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IT Security Manager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Forum Privasi &amp; Data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DPO (Data Protection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Legal Counsel</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Badan Standar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IT Architecture Manager</w:t>
            </w:r>
          </w:p>
        </w:tc>
      </w:tr>
    </w:tbl>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5.4 Ketentuan Berbagi Informasi (Information Sharing)</w:t>
      </w:r>
    </w:p>
    <w:p>
      <w:pPr>
        <w:spacing w:after="80" w:before="60"/>
      </w:pPr>
      <w:r>
        <w:rPr>
          <w:rFonts w:ascii="Arial" w:cs="Arial" w:eastAsia="Arial" w:hAnsi="Arial"/>
          <w:b w:val="false"/>
          <w:bCs w:val="false"/>
          <w:i w:val="false"/>
          <w:iCs w:val="false"/>
          <w:color w:val="000000"/>
          <w:sz w:val="20"/>
          <w:szCs w:val="20"/>
        </w:rPr>
        <w:t xml:space="preserve">Dalam berpartisipasi pada kelompok kepentingan khusus, terdapat ketentuan ketat terkait informasi yang dapat dan tidak dapat dibagikan:</w:t>
      </w:r>
    </w:p>
    <w:p>
      <w:pPr>
        <w:spacing w:after="80" w:before="80"/>
      </w:pPr>
      <w:r>
        <w:t xml:space="preserve"/>
      </w:r>
    </w:p>
    <w:p>
      <w:pPr>
        <w:pStyle w:val="Heading3"/>
        <w:spacing w:after="80" w:before="180"/>
      </w:pPr>
      <w:r>
        <w:rPr>
          <w:rFonts w:ascii="Arial" w:cs="Arial" w:eastAsia="Arial" w:hAnsi="Arial"/>
          <w:b/>
          <w:bCs/>
          <w:color w:val="2563A8"/>
          <w:sz w:val="22"/>
          <w:szCs w:val="22"/>
        </w:rPr>
        <w:t xml:space="preserve">5.4.1 Informasi yang DAPAT Dibagikan</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ancaman siber bersifat umum yang tidak mengungkap kerentanan spesifik perusahaan</w:t>
      </w:r>
    </w:p>
    <w:p>
      <w:pPr>
        <w:pStyle w:val="ListParagraph"/>
        <w:numPr>
          <w:ilvl w:val="0"/>
          <w:numId w:val="2"/>
        </w:numPr>
        <w:spacing w:after="40" w:before="40"/>
      </w:pPr>
      <w:r>
        <w:rPr>
          <w:rFonts w:ascii="Arial" w:cs="Arial" w:eastAsia="Arial" w:hAnsi="Arial"/>
          <w:b w:val="false"/>
          <w:bCs w:val="false"/>
          <w:color w:val="000000"/>
          <w:sz w:val="20"/>
          <w:szCs w:val="20"/>
        </w:rPr>
        <w:t xml:space="preserve">Indikator kompromi (IoC) yang telah divalidasi tanpa atribusi ke insiden internal spesifik</w:t>
      </w:r>
    </w:p>
    <w:p>
      <w:pPr>
        <w:pStyle w:val="ListParagraph"/>
        <w:numPr>
          <w:ilvl w:val="0"/>
          <w:numId w:val="2"/>
        </w:numPr>
        <w:spacing w:after="40" w:before="40"/>
      </w:pPr>
      <w:r>
        <w:rPr>
          <w:rFonts w:ascii="Arial" w:cs="Arial" w:eastAsia="Arial" w:hAnsi="Arial"/>
          <w:b w:val="false"/>
          <w:bCs w:val="false"/>
          <w:color w:val="000000"/>
          <w:sz w:val="20"/>
          <w:szCs w:val="20"/>
        </w:rPr>
        <w:t xml:space="preserve">Pengalaman dan pelajaran umum dari implementasi kontrol keamanan</w:t>
      </w:r>
    </w:p>
    <w:p>
      <w:pPr>
        <w:pStyle w:val="ListParagraph"/>
        <w:numPr>
          <w:ilvl w:val="0"/>
          <w:numId w:val="2"/>
        </w:numPr>
        <w:spacing w:after="40" w:before="40"/>
      </w:pPr>
      <w:r>
        <w:rPr>
          <w:rFonts w:ascii="Arial" w:cs="Arial" w:eastAsia="Arial" w:hAnsi="Arial"/>
          <w:b w:val="false"/>
          <w:bCs w:val="false"/>
          <w:color w:val="000000"/>
          <w:sz w:val="20"/>
          <w:szCs w:val="20"/>
        </w:rPr>
        <w:t xml:space="preserve">Statistik dan tren keamanan industri yang telah dianonimkan</w:t>
      </w:r>
    </w:p>
    <w:p>
      <w:pPr>
        <w:pStyle w:val="ListParagraph"/>
        <w:numPr>
          <w:ilvl w:val="0"/>
          <w:numId w:val="2"/>
        </w:numPr>
        <w:spacing w:after="40" w:before="40"/>
      </w:pPr>
      <w:r>
        <w:rPr>
          <w:rFonts w:ascii="Arial" w:cs="Arial" w:eastAsia="Arial" w:hAnsi="Arial"/>
          <w:b w:val="false"/>
          <w:bCs w:val="false"/>
          <w:color w:val="000000"/>
          <w:sz w:val="20"/>
          <w:szCs w:val="20"/>
        </w:rPr>
        <w:t xml:space="preserve">Pertanyaan teknis yang tidak mengungkap konfigurasi sistem internal</w:t>
      </w:r>
    </w:p>
    <w:p>
      <w:pPr>
        <w:spacing w:after="80" w:before="80"/>
      </w:pPr>
      <w:r>
        <w:t xml:space="preserve"/>
      </w:r>
    </w:p>
    <w:p>
      <w:pPr>
        <w:pStyle w:val="Heading3"/>
        <w:spacing w:after="80" w:before="180"/>
      </w:pPr>
      <w:r>
        <w:rPr>
          <w:rFonts w:ascii="Arial" w:cs="Arial" w:eastAsia="Arial" w:hAnsi="Arial"/>
          <w:b/>
          <w:bCs/>
          <w:color w:val="2563A8"/>
          <w:sz w:val="22"/>
          <w:szCs w:val="22"/>
        </w:rPr>
        <w:t xml:space="preserve">5.4.2 Informasi yang DILARANG Dibagikan</w:t>
      </w:r>
    </w:p>
    <w:p>
      <w:pPr>
        <w:spacing w:after="80" w:before="60"/>
      </w:pPr>
      <w:r>
        <w:rPr>
          <w:rFonts w:ascii="Arial" w:cs="Arial" w:eastAsia="Arial" w:hAnsi="Arial"/>
          <w:b w:val="false"/>
          <w:bCs w:val="false"/>
          <w:i w:val="false"/>
          <w:iCs w:val="false"/>
          <w:color w:val="000000"/>
          <w:sz w:val="20"/>
          <w:szCs w:val="20"/>
        </w:rPr>
        <w:t xml:space="preserve">Berikut adalah informasi yang DILARANG untuk dibagikan dalam forum apapun:</w:t>
      </w:r>
    </w:p>
    <w:p>
      <w:pPr>
        <w:pStyle w:val="ListParagraph"/>
        <w:numPr>
          <w:ilvl w:val="0"/>
          <w:numId w:val="2"/>
        </w:numPr>
        <w:spacing w:after="40" w:before="40"/>
      </w:pPr>
      <w:r>
        <w:rPr>
          <w:rFonts w:ascii="Arial" w:cs="Arial" w:eastAsia="Arial" w:hAnsi="Arial"/>
          <w:b w:val="false"/>
          <w:bCs w:val="false"/>
          <w:color w:val="000000"/>
          <w:sz w:val="20"/>
          <w:szCs w:val="20"/>
        </w:rPr>
        <w:t xml:space="preserve">Data nasabah dalam bentuk apapun, termasuk yang telah dianonimkan jika masih dapat dikaitkan ke individu</w:t>
      </w:r>
    </w:p>
    <w:p>
      <w:pPr>
        <w:pStyle w:val="ListParagraph"/>
        <w:numPr>
          <w:ilvl w:val="0"/>
          <w:numId w:val="2"/>
        </w:numPr>
        <w:spacing w:after="40" w:before="40"/>
      </w:pPr>
      <w:r>
        <w:rPr>
          <w:rFonts w:ascii="Arial" w:cs="Arial" w:eastAsia="Arial" w:hAnsi="Arial"/>
          <w:b w:val="false"/>
          <w:bCs w:val="false"/>
          <w:color w:val="000000"/>
          <w:sz w:val="20"/>
          <w:szCs w:val="20"/>
        </w:rPr>
        <w:t xml:space="preserve">Detail teknis spesifik infrastruktur IT internal (topologi jaringan, konfigurasi sistem, nama server, dll.)</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insiden keamanan aktif yang sedang dalam investigasi</w:t>
      </w:r>
    </w:p>
    <w:p>
      <w:pPr>
        <w:pStyle w:val="ListParagraph"/>
        <w:numPr>
          <w:ilvl w:val="0"/>
          <w:numId w:val="2"/>
        </w:numPr>
        <w:spacing w:after="40" w:before="40"/>
      </w:pPr>
      <w:r>
        <w:rPr>
          <w:rFonts w:ascii="Arial" w:cs="Arial" w:eastAsia="Arial" w:hAnsi="Arial"/>
          <w:b w:val="false"/>
          <w:bCs w:val="false"/>
          <w:color w:val="000000"/>
          <w:sz w:val="20"/>
          <w:szCs w:val="20"/>
        </w:rPr>
        <w:t xml:space="preserve">Kerentanan yang belum ditangani (unpatched vulnerabilities) pada sistem internal</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keuangan, aktuarial, atau bisnis yang bersifat rahasia</w:t>
      </w:r>
    </w:p>
    <w:p>
      <w:pPr>
        <w:pStyle w:val="ListParagraph"/>
        <w:numPr>
          <w:ilvl w:val="0"/>
          <w:numId w:val="2"/>
        </w:numPr>
        <w:spacing w:after="40" w:before="40"/>
      </w:pPr>
      <w:r>
        <w:rPr>
          <w:rFonts w:ascii="Arial" w:cs="Arial" w:eastAsia="Arial" w:hAnsi="Arial"/>
          <w:b w:val="false"/>
          <w:bCs w:val="false"/>
          <w:color w:val="000000"/>
          <w:sz w:val="20"/>
          <w:szCs w:val="20"/>
        </w:rPr>
        <w:t xml:space="preserve">Identitas vendor/mitra dan detail perjanjian kontrak</w:t>
      </w:r>
    </w:p>
    <w:p>
      <w:pPr>
        <w:pStyle w:val="ListParagraph"/>
        <w:numPr>
          <w:ilvl w:val="0"/>
          <w:numId w:val="2"/>
        </w:numPr>
        <w:spacing w:after="40" w:before="40"/>
      </w:pPr>
      <w:r>
        <w:rPr>
          <w:rFonts w:ascii="Arial" w:cs="Arial" w:eastAsia="Arial" w:hAnsi="Arial"/>
          <w:b w:val="false"/>
          <w:bCs w:val="false"/>
          <w:color w:val="000000"/>
          <w:sz w:val="20"/>
          <w:szCs w:val="20"/>
        </w:rPr>
        <w:t xml:space="preserve">Hasil audit internal atau eksternal yang belum dipublikasikan</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5.5 Perlindungan Informasi yang Diterima</w:t>
      </w:r>
    </w:p>
    <w:p>
      <w:pPr>
        <w:spacing w:after="80" w:before="60"/>
      </w:pPr>
      <w:r>
        <w:rPr>
          <w:rFonts w:ascii="Arial" w:cs="Arial" w:eastAsia="Arial" w:hAnsi="Arial"/>
          <w:b w:val="false"/>
          <w:bCs w:val="false"/>
          <w:i w:val="false"/>
          <w:iCs w:val="false"/>
          <w:color w:val="000000"/>
          <w:sz w:val="20"/>
          <w:szCs w:val="20"/>
        </w:rPr>
        <w:t xml:space="preserve">Informasi yang diterima dari kelompok kepentingan khusus harus dikelola sebagai berikut:</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yang diklasifikasikan sebagai TLP:RED (Traffic Light Protocol) hanya boleh digunakan secara internal dan tidak disebarkan</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TLP:AMBER hanya dapat dibagikan kepada pihak internal yang membutuhkan</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TLP:GREEN dapat dibagikan secara terbatas di komunitas yang relevan</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TLP:WHITE dapat disebarluaskan tanpa pembatasan</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informasi ancaman dari forum harus diintegrasikan ke dalam proses threat intelligence perusahaan</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5.6 Pemantauan Perkembangan dan Pelaporan</w:t>
      </w:r>
    </w:p>
    <w:p>
      <w:pPr>
        <w:spacing w:after="80" w:before="60"/>
      </w:pPr>
      <w:r>
        <w:rPr>
          <w:rFonts w:ascii="Arial" w:cs="Arial" w:eastAsia="Arial" w:hAnsi="Arial"/>
          <w:b w:val="false"/>
          <w:bCs w:val="false"/>
          <w:i w:val="false"/>
          <w:iCs w:val="false"/>
          <w:color w:val="000000"/>
          <w:sz w:val="20"/>
          <w:szCs w:val="20"/>
        </w:rPr>
        <w:t xml:space="preserve">Representatif resmi wajib:</w:t>
      </w:r>
    </w:p>
    <w:p>
      <w:pPr>
        <w:pStyle w:val="ListParagraph"/>
        <w:numPr>
          <w:ilvl w:val="0"/>
          <w:numId w:val="3"/>
        </w:numPr>
        <w:spacing w:after="40" w:before="40"/>
      </w:pPr>
      <w:r>
        <w:rPr>
          <w:rFonts w:ascii="Arial" w:cs="Arial" w:eastAsia="Arial" w:hAnsi="Arial"/>
          <w:b w:val="false"/>
          <w:bCs w:val="false"/>
          <w:color w:val="000000"/>
          <w:sz w:val="20"/>
          <w:szCs w:val="20"/>
        </w:rPr>
        <w:t xml:space="preserve">Menghadiri pertemuan dan kegiatan forum secara aktif</w:t>
      </w:r>
    </w:p>
    <w:p>
      <w:pPr>
        <w:pStyle w:val="ListParagraph"/>
        <w:numPr>
          <w:ilvl w:val="0"/>
          <w:numId w:val="3"/>
        </w:numPr>
        <w:spacing w:after="40" w:before="40"/>
      </w:pPr>
      <w:r>
        <w:rPr>
          <w:rFonts w:ascii="Arial" w:cs="Arial" w:eastAsia="Arial" w:hAnsi="Arial"/>
          <w:b w:val="false"/>
          <w:bCs w:val="false"/>
          <w:color w:val="000000"/>
          <w:sz w:val="20"/>
          <w:szCs w:val="20"/>
        </w:rPr>
        <w:t xml:space="preserve">Mendokumentasikan ringkasan setiap pertemuan dan mengirimkan kepada CISO dalam 5 hari kerja</w:t>
      </w:r>
    </w:p>
    <w:p>
      <w:pPr>
        <w:pStyle w:val="ListParagraph"/>
        <w:numPr>
          <w:ilvl w:val="0"/>
          <w:numId w:val="3"/>
        </w:numPr>
        <w:spacing w:after="40" w:before="40"/>
      </w:pPr>
      <w:r>
        <w:rPr>
          <w:rFonts w:ascii="Arial" w:cs="Arial" w:eastAsia="Arial" w:hAnsi="Arial"/>
          <w:b w:val="false"/>
          <w:bCs w:val="false"/>
          <w:color w:val="000000"/>
          <w:sz w:val="20"/>
          <w:szCs w:val="20"/>
        </w:rPr>
        <w:t xml:space="preserve">Menyusun laporan triwulanan kepada CISO tentang perkembangan terkini dari forum</w:t>
      </w:r>
    </w:p>
    <w:p>
      <w:pPr>
        <w:pStyle w:val="ListParagraph"/>
        <w:numPr>
          <w:ilvl w:val="0"/>
          <w:numId w:val="3"/>
        </w:numPr>
        <w:spacing w:after="40" w:before="40"/>
      </w:pPr>
      <w:r>
        <w:rPr>
          <w:rFonts w:ascii="Arial" w:cs="Arial" w:eastAsia="Arial" w:hAnsi="Arial"/>
          <w:b w:val="false"/>
          <w:bCs w:val="false"/>
          <w:color w:val="000000"/>
          <w:sz w:val="20"/>
          <w:szCs w:val="20"/>
        </w:rPr>
        <w:t xml:space="preserve">Segera melaporkan informasi ancaman kritis kepada CISO dalam 24 jam setelah diterima</w:t>
      </w:r>
    </w:p>
    <w:p>
      <w:pPr>
        <w:pStyle w:val="ListParagraph"/>
        <w:numPr>
          <w:ilvl w:val="0"/>
          <w:numId w:val="3"/>
        </w:numPr>
        <w:spacing w:after="40" w:before="40"/>
      </w:pPr>
      <w:r>
        <w:rPr>
          <w:rFonts w:ascii="Arial" w:cs="Arial" w:eastAsia="Arial" w:hAnsi="Arial"/>
          <w:b w:val="false"/>
          <w:bCs w:val="false"/>
          <w:color w:val="000000"/>
          <w:sz w:val="20"/>
          <w:szCs w:val="20"/>
        </w:rPr>
        <w:t xml:space="preserve">Berkoordinasi dengan tim IT Security untuk menindaklanjuti informasi ancaman yang relevan</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6. PERAN DAN TANGGUNG JAWAB</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Tanggung Jawab</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CISO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Mengelola daftar keanggotaan dalam kelompok kepentingan khusus; mengkoordinasikan informasi threat intelligence dari berbagai forum; mengevaluasi relevansi dan nilai partisipasi; melaporkan kepada Direksi setiap semester.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Representatif Resmi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Mewakili perusahaan secara profesional; mematuhi ketentuan berbagi informasi; mendokumentasikan dan melaporkan perkembangan forum; menindaklanjuti informasi ancaman yang relevan.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Legal Counsel / DPO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Meninjau perjanjian keanggotaan dan NDA; memastikan kepatuhan terhadap UU PDP dalam aktivitas berbagi informasi; memberikan nasihat hukum bila diperlukan.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Memastikan partisipasi forum tidak bertentangan dengan regulasi OJK; memantau potensi konflik kepentingan; mengintegrasikan intelijen regulasi dari forum.</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 Security Team</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Mengintegrasikan informasi threat intelligence ke dalam sistem keamanan; menindaklanjuti IoC dan rekomendasi teknis dari forum; memperbarui kontrol keamanan berdasarkan informasi terbaru.</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Seluruh Karyawan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Mengikuti ketentuan berbagi informasi; tidak berbagi informasi sensitif perusahaan tanpa otorisasi; melaporkan kepada CISO jika mendapat undangan keanggotaan forum yang berpotensi relevan.</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7. EVALUASI DAN PENINJAUAN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Evaluasi efektivitas partisipasi dilakukan melalui:</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tahunan oleh CISO terhadap seluruh keanggotaan aktif, menilai relevansi dan manfaat yang diperoleh</w:t>
      </w:r>
    </w:p>
    <w:p>
      <w:pPr>
        <w:pStyle w:val="ListParagraph"/>
        <w:numPr>
          <w:ilvl w:val="0"/>
          <w:numId w:val="2"/>
        </w:numPr>
        <w:spacing w:after="40" w:before="40"/>
      </w:pPr>
      <w:r>
        <w:rPr>
          <w:rFonts w:ascii="Arial" w:cs="Arial" w:eastAsia="Arial" w:hAnsi="Arial"/>
          <w:b w:val="false"/>
          <w:bCs w:val="false"/>
          <w:color w:val="000000"/>
          <w:sz w:val="20"/>
          <w:szCs w:val="20"/>
        </w:rPr>
        <w:t xml:space="preserve">Evaluasi biaya-manfaat (cost-benefit analysis) untuk setiap keanggotaan berbayar</w:t>
      </w:r>
    </w:p>
    <w:p>
      <w:pPr>
        <w:pStyle w:val="ListParagraph"/>
        <w:numPr>
          <w:ilvl w:val="0"/>
          <w:numId w:val="2"/>
        </w:numPr>
        <w:spacing w:after="40" w:before="40"/>
      </w:pPr>
      <w:r>
        <w:rPr>
          <w:rFonts w:ascii="Arial" w:cs="Arial" w:eastAsia="Arial" w:hAnsi="Arial"/>
          <w:b w:val="false"/>
          <w:bCs w:val="false"/>
          <w:color w:val="000000"/>
          <w:sz w:val="20"/>
          <w:szCs w:val="20"/>
        </w:rPr>
        <w:t xml:space="preserve">Survei kepuasan representatif tentang kualitas informasi yang diterima</w:t>
      </w:r>
    </w:p>
    <w:p>
      <w:pPr>
        <w:pStyle w:val="ListParagraph"/>
        <w:numPr>
          <w:ilvl w:val="0"/>
          <w:numId w:val="2"/>
        </w:numPr>
        <w:spacing w:after="40" w:before="40"/>
      </w:pPr>
      <w:r>
        <w:rPr>
          <w:rFonts w:ascii="Arial" w:cs="Arial" w:eastAsia="Arial" w:hAnsi="Arial"/>
          <w:b w:val="false"/>
          <w:bCs w:val="false"/>
          <w:color w:val="000000"/>
          <w:sz w:val="20"/>
          <w:szCs w:val="20"/>
        </w:rPr>
        <w:t xml:space="preserve">Pengukuran kontribusi informasi ancaman terhadap postur keamanan perusahaan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Kriteria untuk mengakhiri keanggotaan:</w:t>
      </w:r>
    </w:p>
    <w:p>
      <w:pPr>
        <w:pStyle w:val="ListParagraph"/>
        <w:numPr>
          <w:ilvl w:val="0"/>
          <w:numId w:val="2"/>
        </w:numPr>
        <w:spacing w:after="40" w:before="40"/>
      </w:pPr>
      <w:r>
        <w:rPr>
          <w:rFonts w:ascii="Arial" w:cs="Arial" w:eastAsia="Arial" w:hAnsi="Arial"/>
          <w:b w:val="false"/>
          <w:bCs w:val="false"/>
          <w:color w:val="000000"/>
          <w:sz w:val="20"/>
          <w:szCs w:val="20"/>
        </w:rPr>
        <w:t xml:space="preserve">Forum tidak lagi relevan dengan risiko dan kebutuhan keamanan informasi perusahaan</w:t>
      </w:r>
    </w:p>
    <w:p>
      <w:pPr>
        <w:pStyle w:val="ListParagraph"/>
        <w:numPr>
          <w:ilvl w:val="0"/>
          <w:numId w:val="2"/>
        </w:numPr>
        <w:spacing w:after="40" w:before="40"/>
      </w:pPr>
      <w:r>
        <w:rPr>
          <w:rFonts w:ascii="Arial" w:cs="Arial" w:eastAsia="Arial" w:hAnsi="Arial"/>
          <w:b w:val="false"/>
          <w:bCs w:val="false"/>
          <w:color w:val="000000"/>
          <w:sz w:val="20"/>
          <w:szCs w:val="20"/>
        </w:rPr>
        <w:t xml:space="preserve">Biaya keanggotaan tidak sebanding dengan manfaat yang diperoleh</w:t>
      </w:r>
    </w:p>
    <w:p>
      <w:pPr>
        <w:pStyle w:val="ListParagraph"/>
        <w:numPr>
          <w:ilvl w:val="0"/>
          <w:numId w:val="2"/>
        </w:numPr>
        <w:spacing w:after="40" w:before="40"/>
      </w:pPr>
      <w:r>
        <w:rPr>
          <w:rFonts w:ascii="Arial" w:cs="Arial" w:eastAsia="Arial" w:hAnsi="Arial"/>
          <w:b w:val="false"/>
          <w:bCs w:val="false"/>
          <w:color w:val="000000"/>
          <w:sz w:val="20"/>
          <w:szCs w:val="20"/>
        </w:rPr>
        <w:t xml:space="preserve">Terdapat kekhawatiran mengenai integritas atau reputasi forum</w:t>
      </w:r>
    </w:p>
    <w:p>
      <w:pPr>
        <w:pStyle w:val="ListParagraph"/>
        <w:numPr>
          <w:ilvl w:val="0"/>
          <w:numId w:val="2"/>
        </w:numPr>
        <w:spacing w:after="40" w:before="40"/>
      </w:pPr>
      <w:r>
        <w:rPr>
          <w:rFonts w:ascii="Arial" w:cs="Arial" w:eastAsia="Arial" w:hAnsi="Arial"/>
          <w:b w:val="false"/>
          <w:bCs w:val="false"/>
          <w:color w:val="000000"/>
          <w:sz w:val="20"/>
          <w:szCs w:val="20"/>
        </w:rPr>
        <w:t xml:space="preserve">Kewajiban berbagi informasi berpotensi melanggar regulasi yang berlaku</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8. PELANGGARAN DAN SANKSI</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Pelanggaran terhadap ketentuan kebijakan ini, terutama dalam hal berbagi informasi yang tidak sah, akan dikenakan:</w:t>
      </w:r>
    </w:p>
    <w:p>
      <w:pPr>
        <w:pStyle w:val="ListParagraph"/>
        <w:numPr>
          <w:ilvl w:val="0"/>
          <w:numId w:val="2"/>
        </w:numPr>
        <w:spacing w:after="40" w:before="40"/>
      </w:pPr>
      <w:r>
        <w:rPr>
          <w:rFonts w:ascii="Arial" w:cs="Arial" w:eastAsia="Arial" w:hAnsi="Arial"/>
          <w:b w:val="false"/>
          <w:bCs w:val="false"/>
          <w:color w:val="000000"/>
          <w:sz w:val="20"/>
          <w:szCs w:val="20"/>
        </w:rPr>
        <w:t xml:space="preserve">Tindakan disiplin sesuai Peraturan Perusahaan, termasuk kemungkinan pemutusan hubungan kerja</w:t>
      </w:r>
    </w:p>
    <w:p>
      <w:pPr>
        <w:pStyle w:val="ListParagraph"/>
        <w:numPr>
          <w:ilvl w:val="0"/>
          <w:numId w:val="2"/>
        </w:numPr>
        <w:spacing w:after="40" w:before="40"/>
      </w:pPr>
      <w:r>
        <w:rPr>
          <w:rFonts w:ascii="Arial" w:cs="Arial" w:eastAsia="Arial" w:hAnsi="Arial"/>
          <w:b w:val="false"/>
          <w:bCs w:val="false"/>
          <w:color w:val="000000"/>
          <w:sz w:val="20"/>
          <w:szCs w:val="20"/>
        </w:rPr>
        <w:t xml:space="preserve">Tanggung jawab hukum sesuai peraturan perlindungan data dan kerahasiaan yang berlaku</w:t>
      </w:r>
    </w:p>
    <w:p>
      <w:pPr>
        <w:pStyle w:val="ListParagraph"/>
        <w:numPr>
          <w:ilvl w:val="0"/>
          <w:numId w:val="2"/>
        </w:numPr>
        <w:spacing w:after="40" w:before="40"/>
      </w:pPr>
      <w:r>
        <w:rPr>
          <w:rFonts w:ascii="Arial" w:cs="Arial" w:eastAsia="Arial" w:hAnsi="Arial"/>
          <w:b w:val="false"/>
          <w:bCs w:val="false"/>
          <w:color w:val="000000"/>
          <w:sz w:val="20"/>
          <w:szCs w:val="20"/>
        </w:rPr>
        <w:t xml:space="preserve">Potensi sanksi regulasi dari OJK atas pelanggaran kerahasiaan data nasabah</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9. RIWAYAT DAN PERSETUJUAN DOKUMEN</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000"/>
        <w:gridCol w:w="2000"/>
      </w:tblGrid>
      <w:tr>
        <w:trPr>
          <w:tblHeader/>
        </w:trPr>
        <w:tc>
          <w:tcPr>
            <w:tcW w:type="dxa" w:w="9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w:t>
            </w:r>
          </w:p>
        </w:tc>
        <w:tc>
          <w:tcPr>
            <w:tcW w:type="dxa" w:w="15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Tanggal</w:t>
            </w:r>
          </w:p>
        </w:tc>
        <w:tc>
          <w:tcPr>
            <w:tcW w:type="dxa" w:w="40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Perubahan</w:t>
            </w:r>
          </w:p>
        </w:tc>
        <w:tc>
          <w:tcPr>
            <w:tcW w:type="dxa" w:w="20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Disetujui Oleh</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 Mar 2026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Penerbitan pertama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Utama</w:t>
            </w:r>
          </w:p>
        </w:tc>
      </w:tr>
    </w:tbl>
    <w:p>
      <w:pPr>
        <w:spacing w:after="80" w:before="1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Disiapkan Oleh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Diperiksa Oleh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Disetujui Oleh</w:t>
            </w:r>
          </w:p>
        </w:tc>
      </w:tr>
      <w:tr>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CISO</w:t>
            </w:r>
          </w:p>
          <w:p>
            <w:r>
              <w:rPr>
                <w:rFonts w:ascii="Arial" w:cs="Arial" w:eastAsia="Arial" w:hAnsi="Arial"/>
                <w:color w:val="B0B8C4"/>
                <w:sz w:val="18"/>
                <w:szCs w:val="18"/>
              </w:rPr>
              <w:t xml:space="preserve">PT Equity Life Indonesia</w:t>
            </w:r>
          </w:p>
        </w:tc>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Chief Compliance Officer</w:t>
            </w:r>
          </w:p>
          <w:p>
            <w:r>
              <w:rPr>
                <w:rFonts w:ascii="Arial" w:cs="Arial" w:eastAsia="Arial" w:hAnsi="Arial"/>
                <w:color w:val="B0B8C4"/>
                <w:sz w:val="18"/>
                <w:szCs w:val="18"/>
              </w:rPr>
              <w:t xml:space="preserve">PT Equity Life Indonesia</w:t>
            </w:r>
          </w:p>
        </w:tc>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Direktur Utama</w:t>
            </w:r>
          </w:p>
          <w:p>
            <w:r>
              <w:rPr>
                <w:rFonts w:ascii="Arial" w:cs="Arial" w:eastAsia="Arial" w:hAnsi="Arial"/>
                <w:color w:val="B0B8C4"/>
                <w:sz w:val="18"/>
                <w:szCs w:val="18"/>
              </w:rPr>
              <w:t xml:space="preserve">PT Equity Life Indonesia</w:t>
            </w:r>
          </w:p>
        </w:tc>
      </w:tr>
    </w:tbl>
    <w:p>
      <w:pPr>
        <w:spacing w:after="80" w:before="80"/>
      </w:pPr>
      <w:r>
        <w:t xml:space="preserve"/>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pBdr>
      <w:tabs>
        <w:tab w:val="right" w:pos="9026"/>
      </w:tabs>
      <w:spacing w:before="80"/>
    </w:pPr>
    <w:r>
      <w:rPr>
        <w:rFonts w:ascii="Arial" w:cs="Arial" w:eastAsia="Arial" w:hAnsi="Arial"/>
        <w:color w:val="B0B8C4"/>
        <w:sz w:val="16"/>
        <w:szCs w:val="16"/>
      </w:rPr>
      <w:t xml:space="preserve">Kebijakan Kontak dengan Kelompok Kepentingan Khusus | Rahasia Internal</w:t>
    </w:r>
    <w:r>
      <w:rPr>
        <w:rFonts w:ascii="Arial" w:cs="Arial" w:eastAsia="Arial" w:hAnsi="Arial"/>
        <w:sz w:val="16"/>
        <w:szCs w:val="16"/>
      </w:rPr>
      <w:t xml:space="preserve">	</w:t>
    </w:r>
    <w:r>
      <w:rPr>
        <w:rFonts w:ascii="Arial" w:cs="Arial" w:eastAsia="Arial" w:hAnsi="Arial"/>
        <w:color w:val="B0B8C4"/>
        <w:sz w:val="16"/>
        <w:szCs w:val="16"/>
      </w:rPr>
      <w:t xml:space="preserve">Halaman </w:t>
    </w:r>
    <w:r>
      <w:rPr>
        <w:rFonts w:ascii="Arial" w:cs="Arial" w:eastAsia="Arial" w:hAnsi="Arial"/>
        <w:color w:val="B0B8C4"/>
        <w:sz w:val="16"/>
        <w:szCs w:val="16"/>
      </w:rPr>
      <w:fldChar w:fldCharType="begin"/>
      <w:instrText xml:space="preserve">PAGE</w:instrText>
      <w:fldChar w:fldCharType="separate"/>
      <w:fldChar w:fldCharType="end"/>
    </w:r>
    <w:r>
      <w:rPr>
        <w:rFonts w:ascii="Arial" w:cs="Arial" w:eastAsia="Arial" w:hAnsi="Arial"/>
        <w:color w:val="B0B8C4"/>
        <w:sz w:val="16"/>
        <w:szCs w:val="16"/>
      </w:rPr>
      <w:t xml:space="preserve"> dari </w:t>
    </w:r>
    <w:r>
      <w:rPr>
        <w:rFonts w:ascii="Arial" w:cs="Arial" w:eastAsia="Arial" w:hAnsi="Arial"/>
        <w:color w:val="B0B8C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6"/>
      <w:gridCol w:w="3160"/>
    </w:tblGrid>
    <w:tr>
      <w:tc>
        <w:tcPr>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tcPr>
        <w:p>
          <w:r>
            <w:rPr>
              <w:rFonts w:ascii="Arial" w:cs="Arial" w:eastAsia="Arial" w:hAnsi="Arial"/>
              <w:b/>
              <w:bCs/>
              <w:color w:val="FFFFFF"/>
              <w:sz w:val="18"/>
              <w:szCs w:val="18"/>
            </w:rPr>
            <w:t xml:space="preserve">PT EQUITY LIFE INDONESIA | SMKI</w:t>
          </w:r>
        </w:p>
      </w:tc>
      <w:tc>
        <w:tcPr>
          <w:tcBorders>
            <w:top w:val="none" w:color="FFFFFF" w:sz="0"/>
            <w:left w:val="none" w:color="FFFFFF" w:sz="0"/>
            <w:bottom w:val="none" w:color="FFFFFF" w:sz="0"/>
            <w:right w:val="none" w:color="FFFFFF" w:sz="0"/>
          </w:tcBorders>
          <w:shd w:fill="2563A8" w:val="clear"/>
          <w:tcMar>
            <w:top w:type="dxa" w:w="80"/>
            <w:left w:type="dxa" w:w="180"/>
            <w:bottom w:type="dxa" w:w="80"/>
            <w:right w:type="dxa" w:w="180"/>
          </w:tcMar>
          <w:vAlign w:val="center"/>
        </w:tcPr>
        <w:p>
          <w:pPr>
            <w:jc w:val="right"/>
          </w:pPr>
          <w:r>
            <w:rPr>
              <w:rFonts w:ascii="Arial" w:cs="Arial" w:eastAsia="Arial" w:hAnsi="Arial"/>
              <w:b w:val="false"/>
              <w:bCs w:val="false"/>
              <w:color w:val="FFFFFF"/>
              <w:sz w:val="16"/>
              <w:szCs w:val="16"/>
            </w:rPr>
            <w:t xml:space="preserve">ISMS-POL-OR-002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2026-03-15T21:45:41.690Z</dcterms:created>
  <dcterms:modified xsi:type="dcterms:W3CDTF">2026-03-15T21:45:41.691Z</dcterms:modified>
</cp:coreProperties>
</file>

<file path=docProps/custom.xml><?xml version="1.0" encoding="utf-8"?>
<Properties xmlns="http://schemas.openxmlformats.org/officeDocument/2006/custom-properties" xmlns:vt="http://schemas.openxmlformats.org/officeDocument/2006/docPropsVTypes"/>
</file>