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355"/>
            <w:shd w:val="clear" w:color="auto" w:fill="1F497D"/>
          </w:tcPr>
          <w:p>
            <w:pPr>
              <w:spacing w:before="400" w:after="400"/>
              <w:jc w:val="center"/>
            </w:pPr>
            <w:r>
              <w:rPr>
                <w:b/>
                <w:color w:val="FFFFFF"/>
                <w:sz w:val="36"/>
              </w:rPr>
              <w:t>PT EQUITY LIFE INDONESIA</w:t>
            </w:r>
          </w:p>
        </w:tc>
      </w:tr>
    </w:tbl>
    <w:p/>
    <w:p>
      <w:pPr>
        <w:jc w:val="center"/>
      </w:pPr>
      <w:r>
        <w:rPr>
          <w:color w:val="2E74B5"/>
          <w:sz w:val="28"/>
        </w:rPr>
        <w:t>ISO/IEC 27001:2022</w:t>
      </w:r>
    </w:p>
    <w:p/>
    <w:p>
      <w:pPr>
        <w:jc w:val="center"/>
      </w:pPr>
      <w:r>
        <w:rPr>
          <w:b/>
          <w:color w:val="1F497D"/>
          <w:sz w:val="40"/>
        </w:rPr>
        <w:t>Konteks Organisasi dan Ruang Lingkup ISMS</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ISMS-SCO-001</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Februari 2026</w:t>
            </w:r>
          </w:p>
        </w:tc>
      </w:tr>
      <w:tr>
        <w:tc>
          <w:tcPr>
            <w:tcW w:type="dxa" w:w="4677"/>
            <w:shd w:val="clear" w:color="auto" w:fill="DEEAF1"/>
          </w:tcPr>
          <w:p>
            <w:r>
              <w:rPr>
                <w:b/>
                <w:color w:val="1F497D"/>
                <w:sz w:val="20"/>
              </w:rPr>
              <w:t>Klasifikasi</w:t>
            </w:r>
          </w:p>
        </w:tc>
        <w:tc>
          <w:tcPr>
            <w:tcW w:type="dxa" w:w="4677"/>
          </w:tcPr>
          <w:p>
            <w:r>
              <w:rPr>
                <w:sz w:val="20"/>
              </w:rPr>
              <w:t>INTERNAL - CONFIDENTIAL</w:t>
            </w:r>
          </w:p>
        </w:tc>
      </w:tr>
    </w:tbl>
    <w:p>
      <w:r>
        <w:br w:type="page"/>
      </w:r>
    </w:p>
    <w:p>
      <w:pPr>
        <w:spacing w:before="280" w:after="120"/>
        <w:pBdr>
          <w:bottom w:val="single" w:sz="6" w:color="1F497D"/>
        </w:pBdr>
      </w:pPr>
      <w:r>
        <w:rPr>
          <w:b/>
          <w:color w:val="1F497D"/>
          <w:sz w:val="28"/>
        </w:rPr>
        <w:t>1. GAMBARAN UMUM ORGANISASI</w:t>
      </w:r>
    </w:p>
    <w:p>
      <w:pPr>
        <w:spacing w:before="40" w:after="80"/>
      </w:pPr>
      <w:r>
        <w:rPr>
          <w:sz w:val="22"/>
        </w:rPr>
        <w:t>PT Equity Life Indonesia adalah perusahaan asuransi jiwa yang beroperasi di Indonesia, menyediakan berbagai produk perlindungan jiwa, kesehatan, investasi, dan perencanaan keuangan bagi individu dan korporasi. Perusahaan berdiri berdasarkan hukum Indonesia dan terdaftar serta diawasi oleh Otoritas Jasa Keuangan (OJK).</w:t>
      </w:r>
    </w:p>
    <w:p>
      <w:pPr>
        <w:spacing w:before="40" w:after="80"/>
      </w:pPr>
      <w:r>
        <w:rPr>
          <w:sz w:val="22"/>
        </w:rPr>
        <w:t>Sebagai entitas dalam industri jasa keuangan, Perusahaan memproses dan menyimpan sejumlah besar informasi sensitif, termasuk data pribadi nasabah, data kesehatan, data keuangan, dan data aktuaria. Perlindungan terhadap informasi ini merupakan kewajiban hukum, etis, dan bisnis yang fundamental.</w:t>
      </w:r>
    </w:p>
    <w:p>
      <w:pPr>
        <w:spacing w:before="200" w:after="120"/>
      </w:pPr>
      <w:r>
        <w:rPr>
          <w:b/>
          <w:color w:val="2E74B5"/>
          <w:sz w:val="24"/>
        </w:rPr>
        <w:t>1.1 Profil Perusahaan</w:t>
      </w:r>
    </w:p>
    <w:tbl>
      <w:tblPr>
        <w:tblStyle w:val="TableGrid"/>
        <w:tblW w:type="auto" w:w="0"/>
        <w:tblLook w:firstColumn="1" w:firstRow="1" w:lastColumn="0" w:lastRow="0" w:noHBand="0" w:noVBand="1" w:val="04A0"/>
      </w:tblPr>
      <w:tblGrid>
        <w:gridCol w:w="4677"/>
        <w:gridCol w:w="4677"/>
      </w:tblGrid>
      <w:tr>
        <w:tc>
          <w:tcPr>
            <w:tcW w:type="dxa" w:w="4677"/>
            <w:shd w:val="clear" w:color="auto" w:fill="DEEAF1"/>
          </w:tcPr>
          <w:p>
            <w:r>
              <w:rPr>
                <w:b/>
                <w:color w:val="1F497D"/>
                <w:sz w:val="20"/>
              </w:rPr>
              <w:t>Nama Perusahaan</w:t>
            </w:r>
          </w:p>
        </w:tc>
        <w:tc>
          <w:tcPr>
            <w:tcW w:type="dxa" w:w="4677"/>
          </w:tcPr>
          <w:p>
            <w:r>
              <w:rPr>
                <w:sz w:val="20"/>
              </w:rPr>
              <w:t>PT Equity Life Indonesia</w:t>
            </w:r>
          </w:p>
        </w:tc>
      </w:tr>
      <w:tr>
        <w:tc>
          <w:tcPr>
            <w:tcW w:type="dxa" w:w="4677"/>
            <w:shd w:val="clear" w:color="auto" w:fill="DEEAF1"/>
          </w:tcPr>
          <w:p>
            <w:r>
              <w:rPr>
                <w:b/>
                <w:color w:val="1F497D"/>
                <w:sz w:val="20"/>
              </w:rPr>
              <w:t>Bidang Usaha</w:t>
            </w:r>
          </w:p>
        </w:tc>
        <w:tc>
          <w:tcPr>
            <w:tcW w:type="dxa" w:w="4677"/>
          </w:tcPr>
          <w:p>
            <w:r>
              <w:rPr>
                <w:sz w:val="20"/>
              </w:rPr>
              <w:t>Asuransi Jiwa</w:t>
            </w:r>
          </w:p>
        </w:tc>
      </w:tr>
      <w:tr>
        <w:tc>
          <w:tcPr>
            <w:tcW w:type="dxa" w:w="4677"/>
            <w:shd w:val="clear" w:color="auto" w:fill="DEEAF1"/>
          </w:tcPr>
          <w:p>
            <w:r>
              <w:rPr>
                <w:b/>
                <w:color w:val="1F497D"/>
                <w:sz w:val="20"/>
              </w:rPr>
              <w:t>Regulator</w:t>
            </w:r>
          </w:p>
        </w:tc>
        <w:tc>
          <w:tcPr>
            <w:tcW w:type="dxa" w:w="4677"/>
          </w:tcPr>
          <w:p>
            <w:r>
              <w:rPr>
                <w:sz w:val="20"/>
              </w:rPr>
              <w:t>Otoritas Jasa Keuangan (OJK)</w:t>
            </w:r>
          </w:p>
        </w:tc>
      </w:tr>
      <w:tr>
        <w:tc>
          <w:tcPr>
            <w:tcW w:type="dxa" w:w="4677"/>
            <w:shd w:val="clear" w:color="auto" w:fill="DEEAF1"/>
          </w:tcPr>
          <w:p>
            <w:r>
              <w:rPr>
                <w:b/>
                <w:color w:val="1F497D"/>
                <w:sz w:val="20"/>
              </w:rPr>
              <w:t>Kantor Pusat</w:t>
            </w:r>
          </w:p>
        </w:tc>
        <w:tc>
          <w:tcPr>
            <w:tcW w:type="dxa" w:w="4677"/>
          </w:tcPr>
          <w:p>
            <w:r>
              <w:rPr>
                <w:sz w:val="20"/>
              </w:rPr>
              <w:t>Jakarta, Indonesia</w:t>
            </w:r>
          </w:p>
        </w:tc>
      </w:tr>
      <w:tr>
        <w:tc>
          <w:tcPr>
            <w:tcW w:type="dxa" w:w="4677"/>
            <w:shd w:val="clear" w:color="auto" w:fill="DEEAF1"/>
          </w:tcPr>
          <w:p>
            <w:r>
              <w:rPr>
                <w:b/>
                <w:color w:val="1F497D"/>
                <w:sz w:val="20"/>
              </w:rPr>
              <w:t>Cakupan Operasional</w:t>
            </w:r>
          </w:p>
        </w:tc>
        <w:tc>
          <w:tcPr>
            <w:tcW w:type="dxa" w:w="4677"/>
          </w:tcPr>
          <w:p>
            <w:r>
              <w:rPr>
                <w:sz w:val="20"/>
              </w:rPr>
              <w:t>Seluruh wilayah Indonesia (kantor pusat + jaringan cabang)</w:t>
            </w:r>
          </w:p>
        </w:tc>
      </w:tr>
      <w:tr>
        <w:tc>
          <w:tcPr>
            <w:tcW w:type="dxa" w:w="4677"/>
            <w:shd w:val="clear" w:color="auto" w:fill="DEEAF1"/>
          </w:tcPr>
          <w:p>
            <w:r>
              <w:rPr>
                <w:b/>
                <w:color w:val="1F497D"/>
                <w:sz w:val="20"/>
              </w:rPr>
              <w:t>Produk Utama</w:t>
            </w:r>
          </w:p>
        </w:tc>
        <w:tc>
          <w:tcPr>
            <w:tcW w:type="dxa" w:w="4677"/>
          </w:tcPr>
          <w:p>
            <w:r>
              <w:rPr>
                <w:sz w:val="20"/>
              </w:rPr>
              <w:t>Asuransi jiwa, asuransi kesehatan, unit link, anuitas, asuransi kumpulan</w:t>
            </w:r>
          </w:p>
        </w:tc>
      </w:tr>
      <w:tr>
        <w:tc>
          <w:tcPr>
            <w:tcW w:type="dxa" w:w="4677"/>
            <w:shd w:val="clear" w:color="auto" w:fill="DEEAF1"/>
          </w:tcPr>
          <w:p>
            <w:r>
              <w:rPr>
                <w:b/>
                <w:color w:val="1F497D"/>
                <w:sz w:val="20"/>
              </w:rPr>
              <w:t>Jumlah Karyawan</w:t>
            </w:r>
          </w:p>
        </w:tc>
        <w:tc>
          <w:tcPr>
            <w:tcW w:type="dxa" w:w="4677"/>
          </w:tcPr>
          <w:p>
            <w:r>
              <w:rPr>
                <w:sz w:val="20"/>
              </w:rPr>
              <w:t>±[XXX] karyawan tetap dan tenaga kontrak</w:t>
            </w:r>
          </w:p>
        </w:tc>
      </w:tr>
      <w:tr>
        <w:tc>
          <w:tcPr>
            <w:tcW w:type="dxa" w:w="4677"/>
            <w:shd w:val="clear" w:color="auto" w:fill="DEEAF1"/>
          </w:tcPr>
          <w:p>
            <w:r>
              <w:rPr>
                <w:b/>
                <w:color w:val="1F497D"/>
                <w:sz w:val="20"/>
              </w:rPr>
              <w:t>Tahun Berdiri</w:t>
            </w:r>
          </w:p>
        </w:tc>
        <w:tc>
          <w:tcPr>
            <w:tcW w:type="dxa" w:w="4677"/>
          </w:tcPr>
          <w:p>
            <w:r>
              <w:rPr>
                <w:sz w:val="20"/>
              </w:rPr>
              <w:t>[Tahun berdiri Perusahaan]</w:t>
            </w:r>
          </w:p>
        </w:tc>
      </w:tr>
      <w:tr>
        <w:tc>
          <w:tcPr>
            <w:tcW w:type="dxa" w:w="4677"/>
            <w:shd w:val="clear" w:color="auto" w:fill="DEEAF1"/>
          </w:tcPr>
          <w:p>
            <w:r>
              <w:rPr>
                <w:b/>
                <w:color w:val="1F497D"/>
                <w:sz w:val="20"/>
              </w:rPr>
              <w:t>Website</w:t>
            </w:r>
          </w:p>
        </w:tc>
        <w:tc>
          <w:tcPr>
            <w:tcW w:type="dxa" w:w="4677"/>
          </w:tcPr>
          <w:p>
            <w:r>
              <w:rPr>
                <w:sz w:val="20"/>
              </w:rPr>
              <w:t>www.equitylife.co.id</w:t>
            </w:r>
          </w:p>
        </w:tc>
      </w:tr>
    </w:tbl>
    <w:p/>
    <w:p>
      <w:pPr>
        <w:spacing w:before="280" w:after="120"/>
        <w:pBdr>
          <w:bottom w:val="single" w:sz="6" w:color="1F497D"/>
        </w:pBdr>
      </w:pPr>
      <w:r>
        <w:rPr>
          <w:b/>
          <w:color w:val="1F497D"/>
          <w:sz w:val="28"/>
        </w:rPr>
        <w:t>2. KONTEKS INTERNAL DAN EKSTERNAL (Klausul 4.1)</w:t>
      </w:r>
    </w:p>
    <w:p>
      <w:pPr>
        <w:spacing w:before="40" w:after="80"/>
      </w:pPr>
      <w:r>
        <w:rPr>
          <w:sz w:val="22"/>
        </w:rPr>
        <w:t>Berdasarkan analisis konteks sesuai ISO/IEC 27001:2022 Klausul 4.1, berikut adalah isu internal dan eksternal yang relevan dengan tujuan ISMS PT Equity Life Indonesia:</w:t>
      </w:r>
    </w:p>
    <w:p>
      <w:pPr>
        <w:spacing w:before="200" w:after="120"/>
      </w:pPr>
      <w:r>
        <w:rPr>
          <w:b/>
          <w:color w:val="2E74B5"/>
          <w:sz w:val="24"/>
        </w:rPr>
        <w:t>2.1 Isu Eksternal</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Kategori</w:t>
            </w:r>
          </w:p>
        </w:tc>
        <w:tc>
          <w:tcPr>
            <w:tcW w:type="dxa" w:w="3118"/>
            <w:shd w:val="clear" w:color="auto" w:fill="1F497D"/>
          </w:tcPr>
          <w:p>
            <w:r>
              <w:rPr>
                <w:b/>
                <w:color w:val="FFFFFF"/>
                <w:sz w:val="20"/>
              </w:rPr>
              <w:t>Isu/Faktor</w:t>
            </w:r>
          </w:p>
        </w:tc>
        <w:tc>
          <w:tcPr>
            <w:tcW w:type="dxa" w:w="3118"/>
            <w:shd w:val="clear" w:color="auto" w:fill="1F497D"/>
          </w:tcPr>
          <w:p>
            <w:r>
              <w:rPr>
                <w:b/>
                <w:color w:val="FFFFFF"/>
                <w:sz w:val="20"/>
              </w:rPr>
              <w:t>Dampak pada ISMS</w:t>
            </w:r>
          </w:p>
        </w:tc>
      </w:tr>
      <w:tr>
        <w:tc>
          <w:tcPr>
            <w:tcW w:type="dxa" w:w="3118"/>
            <w:shd w:val="clear" w:color="auto" w:fill="DEEAF1"/>
          </w:tcPr>
          <w:p>
            <w:r>
              <w:rPr>
                <w:sz w:val="20"/>
              </w:rPr>
              <w:t>Regulasi &amp; Hukum</w:t>
            </w:r>
          </w:p>
        </w:tc>
        <w:tc>
          <w:tcPr>
            <w:tcW w:type="dxa" w:w="3118"/>
            <w:shd w:val="clear" w:color="auto" w:fill="DEEAF1"/>
          </w:tcPr>
          <w:p>
            <w:r>
              <w:rPr>
                <w:sz w:val="20"/>
              </w:rPr>
              <w:t>Undang-Undang Perlindungan Data Pribadi (UU No. 27/2022); POJK terkait TI dan keamanan siber; regulasi pelaporan insiden siber</w:t>
            </w:r>
          </w:p>
        </w:tc>
        <w:tc>
          <w:tcPr>
            <w:tcW w:type="dxa" w:w="3118"/>
            <w:shd w:val="clear" w:color="auto" w:fill="DEEAF1"/>
          </w:tcPr>
          <w:p>
            <w:r>
              <w:rPr>
                <w:sz w:val="20"/>
              </w:rPr>
              <w:t>Kewajiban perlindungan data nasabah; persyaratan keamanan yang harus dipenuhi; kewajiban pelaporan insiden</w:t>
            </w:r>
          </w:p>
        </w:tc>
      </w:tr>
      <w:tr>
        <w:tc>
          <w:tcPr>
            <w:tcW w:type="dxa" w:w="3118"/>
          </w:tcPr>
          <w:p>
            <w:r>
              <w:rPr>
                <w:sz w:val="20"/>
              </w:rPr>
              <w:t>Regulasi &amp; Hukum</w:t>
            </w:r>
          </w:p>
        </w:tc>
        <w:tc>
          <w:tcPr>
            <w:tcW w:type="dxa" w:w="3118"/>
          </w:tcPr>
          <w:p>
            <w:r>
              <w:rPr>
                <w:sz w:val="20"/>
              </w:rPr>
              <w:t>Perubahan regulasi asuransi jiwa oleh OJK</w:t>
            </w:r>
          </w:p>
        </w:tc>
        <w:tc>
          <w:tcPr>
            <w:tcW w:type="dxa" w:w="3118"/>
          </w:tcPr>
          <w:p>
            <w:r>
              <w:rPr>
                <w:sz w:val="20"/>
              </w:rPr>
              <w:t>Kebutuhan penyesuaian sistem dan proses bisnis yang berdampak pada keamanan informasi</w:t>
            </w:r>
          </w:p>
        </w:tc>
      </w:tr>
      <w:tr>
        <w:tc>
          <w:tcPr>
            <w:tcW w:type="dxa" w:w="3118"/>
            <w:shd w:val="clear" w:color="auto" w:fill="DEEAF1"/>
          </w:tcPr>
          <w:p>
            <w:r>
              <w:rPr>
                <w:sz w:val="20"/>
              </w:rPr>
              <w:t>Ancaman Siber</w:t>
            </w:r>
          </w:p>
        </w:tc>
        <w:tc>
          <w:tcPr>
            <w:tcW w:type="dxa" w:w="3118"/>
            <w:shd w:val="clear" w:color="auto" w:fill="DEEAF1"/>
          </w:tcPr>
          <w:p>
            <w:r>
              <w:rPr>
                <w:sz w:val="20"/>
              </w:rPr>
              <w:t>Peningkatan serangan siber terhadap sektor keuangan (ransomware, phishing, DDoS, insider threat)</w:t>
            </w:r>
          </w:p>
        </w:tc>
        <w:tc>
          <w:tcPr>
            <w:tcW w:type="dxa" w:w="3118"/>
            <w:shd w:val="clear" w:color="auto" w:fill="DEEAF1"/>
          </w:tcPr>
          <w:p>
            <w:r>
              <w:rPr>
                <w:sz w:val="20"/>
              </w:rPr>
              <w:t>Peningkatan risiko terhadap aset informasi dan kelangsungan layanan</w:t>
            </w:r>
          </w:p>
        </w:tc>
      </w:tr>
      <w:tr>
        <w:tc>
          <w:tcPr>
            <w:tcW w:type="dxa" w:w="3118"/>
          </w:tcPr>
          <w:p>
            <w:r>
              <w:rPr>
                <w:sz w:val="20"/>
              </w:rPr>
              <w:t>Ancaman Siber</w:t>
            </w:r>
          </w:p>
        </w:tc>
        <w:tc>
          <w:tcPr>
            <w:tcW w:type="dxa" w:w="3118"/>
          </w:tcPr>
          <w:p>
            <w:r>
              <w:rPr>
                <w:sz w:val="20"/>
              </w:rPr>
              <w:t>Kejahatan siber yang menarget data keuangan dan asuransi</w:t>
            </w:r>
          </w:p>
        </w:tc>
        <w:tc>
          <w:tcPr>
            <w:tcW w:type="dxa" w:w="3118"/>
          </w:tcPr>
          <w:p>
            <w:r>
              <w:rPr>
                <w:sz w:val="20"/>
              </w:rPr>
              <w:t>Risiko kebocoran data nasabah dan kerugian finansial</w:t>
            </w:r>
          </w:p>
        </w:tc>
      </w:tr>
      <w:tr>
        <w:tc>
          <w:tcPr>
            <w:tcW w:type="dxa" w:w="3118"/>
            <w:shd w:val="clear" w:color="auto" w:fill="DEEAF1"/>
          </w:tcPr>
          <w:p>
            <w:r>
              <w:rPr>
                <w:sz w:val="20"/>
              </w:rPr>
              <w:t>Teknologi</w:t>
            </w:r>
          </w:p>
        </w:tc>
        <w:tc>
          <w:tcPr>
            <w:tcW w:type="dxa" w:w="3118"/>
            <w:shd w:val="clear" w:color="auto" w:fill="DEEAF1"/>
          </w:tcPr>
          <w:p>
            <w:r>
              <w:rPr>
                <w:sz w:val="20"/>
              </w:rPr>
              <w:t>Perkembangan pesat teknologi cloud, AI, dan digitalisasi layanan asuransi</w:t>
            </w:r>
          </w:p>
        </w:tc>
        <w:tc>
          <w:tcPr>
            <w:tcW w:type="dxa" w:w="3118"/>
            <w:shd w:val="clear" w:color="auto" w:fill="DEEAF1"/>
          </w:tcPr>
          <w:p>
            <w:r>
              <w:rPr>
                <w:sz w:val="20"/>
              </w:rPr>
              <w:t>Perluasan attack surface; kebutuhan adaptasi kontrol keamanan</w:t>
            </w:r>
          </w:p>
        </w:tc>
      </w:tr>
      <w:tr>
        <w:tc>
          <w:tcPr>
            <w:tcW w:type="dxa" w:w="3118"/>
          </w:tcPr>
          <w:p>
            <w:r>
              <w:rPr>
                <w:sz w:val="20"/>
              </w:rPr>
              <w:t>Teknologi</w:t>
            </w:r>
          </w:p>
        </w:tc>
        <w:tc>
          <w:tcPr>
            <w:tcW w:type="dxa" w:w="3118"/>
          </w:tcPr>
          <w:p>
            <w:r>
              <w:rPr>
                <w:sz w:val="20"/>
              </w:rPr>
              <w:t>Ketergantungan pada vendor teknologi pihak ketiga</w:t>
            </w:r>
          </w:p>
        </w:tc>
        <w:tc>
          <w:tcPr>
            <w:tcW w:type="dxa" w:w="3118"/>
          </w:tcPr>
          <w:p>
            <w:r>
              <w:rPr>
                <w:sz w:val="20"/>
              </w:rPr>
              <w:t>Risiko rantai pasokan (supply chain risk)</w:t>
            </w:r>
          </w:p>
        </w:tc>
      </w:tr>
      <w:tr>
        <w:tc>
          <w:tcPr>
            <w:tcW w:type="dxa" w:w="3118"/>
            <w:shd w:val="clear" w:color="auto" w:fill="DEEAF1"/>
          </w:tcPr>
          <w:p>
            <w:r>
              <w:rPr>
                <w:sz w:val="20"/>
              </w:rPr>
              <w:t>Lingkungan Bisnis</w:t>
            </w:r>
          </w:p>
        </w:tc>
        <w:tc>
          <w:tcPr>
            <w:tcW w:type="dxa" w:w="3118"/>
            <w:shd w:val="clear" w:color="auto" w:fill="DEEAF1"/>
          </w:tcPr>
          <w:p>
            <w:r>
              <w:rPr>
                <w:sz w:val="20"/>
              </w:rPr>
              <w:t>Persaingan industri asuransi jiwa yang semakin ketat</w:t>
            </w:r>
          </w:p>
        </w:tc>
        <w:tc>
          <w:tcPr>
            <w:tcW w:type="dxa" w:w="3118"/>
            <w:shd w:val="clear" w:color="auto" w:fill="DEEAF1"/>
          </w:tcPr>
          <w:p>
            <w:r>
              <w:rPr>
                <w:sz w:val="20"/>
              </w:rPr>
              <w:t>Tekanan untuk berinovasi digital dengan tetap menjaga keamanan</w:t>
            </w:r>
          </w:p>
        </w:tc>
      </w:tr>
      <w:tr>
        <w:tc>
          <w:tcPr>
            <w:tcW w:type="dxa" w:w="3118"/>
          </w:tcPr>
          <w:p>
            <w:r>
              <w:rPr>
                <w:sz w:val="20"/>
              </w:rPr>
              <w:t>Lingkungan Bisnis</w:t>
            </w:r>
          </w:p>
        </w:tc>
        <w:tc>
          <w:tcPr>
            <w:tcW w:type="dxa" w:w="3118"/>
          </w:tcPr>
          <w:p>
            <w:r>
              <w:rPr>
                <w:sz w:val="20"/>
              </w:rPr>
              <w:t>Meningkatnya ekspektasi nasabah terhadap privasi dan keamanan data</w:t>
            </w:r>
          </w:p>
        </w:tc>
        <w:tc>
          <w:tcPr>
            <w:tcW w:type="dxa" w:w="3118"/>
          </w:tcPr>
          <w:p>
            <w:r>
              <w:rPr>
                <w:sz w:val="20"/>
              </w:rPr>
              <w:t>Reputasi perusahaan sangat bergantung pada kepercayaan nasabah</w:t>
            </w:r>
          </w:p>
        </w:tc>
      </w:tr>
      <w:tr>
        <w:tc>
          <w:tcPr>
            <w:tcW w:type="dxa" w:w="3118"/>
            <w:shd w:val="clear" w:color="auto" w:fill="DEEAF1"/>
          </w:tcPr>
          <w:p>
            <w:r>
              <w:rPr>
                <w:sz w:val="20"/>
              </w:rPr>
              <w:t>Sosial</w:t>
            </w:r>
          </w:p>
        </w:tc>
        <w:tc>
          <w:tcPr>
            <w:tcW w:type="dxa" w:w="3118"/>
            <w:shd w:val="clear" w:color="auto" w:fill="DEEAF1"/>
          </w:tcPr>
          <w:p>
            <w:r>
              <w:rPr>
                <w:sz w:val="20"/>
              </w:rPr>
              <w:t>Pandemi dan bencana alam yang mempengaruhi operasional</w:t>
            </w:r>
          </w:p>
        </w:tc>
        <w:tc>
          <w:tcPr>
            <w:tcW w:type="dxa" w:w="3118"/>
            <w:shd w:val="clear" w:color="auto" w:fill="DEEAF1"/>
          </w:tcPr>
          <w:p>
            <w:r>
              <w:rPr>
                <w:sz w:val="20"/>
              </w:rPr>
              <w:t>Kebutuhan BCP/DRP yang kuat termasuk aspek keamanan informasi</w:t>
            </w:r>
          </w:p>
        </w:tc>
      </w:tr>
    </w:tbl>
    <w:p/>
    <w:p>
      <w:pPr>
        <w:spacing w:before="200" w:after="120"/>
      </w:pPr>
      <w:r>
        <w:rPr>
          <w:b/>
          <w:color w:val="2E74B5"/>
          <w:sz w:val="24"/>
        </w:rPr>
        <w:t>2.2 Isu Internal</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Kategori</w:t>
            </w:r>
          </w:p>
        </w:tc>
        <w:tc>
          <w:tcPr>
            <w:tcW w:type="dxa" w:w="3118"/>
            <w:shd w:val="clear" w:color="auto" w:fill="1F497D"/>
          </w:tcPr>
          <w:p>
            <w:r>
              <w:rPr>
                <w:b/>
                <w:color w:val="FFFFFF"/>
                <w:sz w:val="20"/>
              </w:rPr>
              <w:t>Isu/Faktor</w:t>
            </w:r>
          </w:p>
        </w:tc>
        <w:tc>
          <w:tcPr>
            <w:tcW w:type="dxa" w:w="3118"/>
            <w:shd w:val="clear" w:color="auto" w:fill="1F497D"/>
          </w:tcPr>
          <w:p>
            <w:r>
              <w:rPr>
                <w:b/>
                <w:color w:val="FFFFFF"/>
                <w:sz w:val="20"/>
              </w:rPr>
              <w:t>Dampak pada ISMS</w:t>
            </w:r>
          </w:p>
        </w:tc>
      </w:tr>
      <w:tr>
        <w:tc>
          <w:tcPr>
            <w:tcW w:type="dxa" w:w="3118"/>
            <w:shd w:val="clear" w:color="auto" w:fill="DEEAF1"/>
          </w:tcPr>
          <w:p>
            <w:r>
              <w:rPr>
                <w:sz w:val="20"/>
              </w:rPr>
              <w:t>Sumber Daya Manusia</w:t>
            </w:r>
          </w:p>
        </w:tc>
        <w:tc>
          <w:tcPr>
            <w:tcW w:type="dxa" w:w="3118"/>
            <w:shd w:val="clear" w:color="auto" w:fill="DEEAF1"/>
          </w:tcPr>
          <w:p>
            <w:r>
              <w:rPr>
                <w:sz w:val="20"/>
              </w:rPr>
              <w:t>Kesadaran keamanan informasi karyawan yang bervariasi</w:t>
            </w:r>
          </w:p>
        </w:tc>
        <w:tc>
          <w:tcPr>
            <w:tcW w:type="dxa" w:w="3118"/>
            <w:shd w:val="clear" w:color="auto" w:fill="DEEAF1"/>
          </w:tcPr>
          <w:p>
            <w:r>
              <w:rPr>
                <w:sz w:val="20"/>
              </w:rPr>
              <w:t>Risiko human error dan insider threat</w:t>
            </w:r>
          </w:p>
        </w:tc>
      </w:tr>
      <w:tr>
        <w:tc>
          <w:tcPr>
            <w:tcW w:type="dxa" w:w="3118"/>
          </w:tcPr>
          <w:p>
            <w:r>
              <w:rPr>
                <w:sz w:val="20"/>
              </w:rPr>
              <w:t>Sumber Daya Manusia</w:t>
            </w:r>
          </w:p>
        </w:tc>
        <w:tc>
          <w:tcPr>
            <w:tcW w:type="dxa" w:w="3118"/>
          </w:tcPr>
          <w:p>
            <w:r>
              <w:rPr>
                <w:sz w:val="20"/>
              </w:rPr>
              <w:t>Rotasi karyawan dan pengelolaan hak akses</w:t>
            </w:r>
          </w:p>
        </w:tc>
        <w:tc>
          <w:tcPr>
            <w:tcW w:type="dxa" w:w="3118"/>
          </w:tcPr>
          <w:p>
            <w:r>
              <w:rPr>
                <w:sz w:val="20"/>
              </w:rPr>
              <w:t>Risiko hak akses yang tidak tepat waktu dicabut</w:t>
            </w:r>
          </w:p>
        </w:tc>
      </w:tr>
      <w:tr>
        <w:tc>
          <w:tcPr>
            <w:tcW w:type="dxa" w:w="3118"/>
            <w:shd w:val="clear" w:color="auto" w:fill="DEEAF1"/>
          </w:tcPr>
          <w:p>
            <w:r>
              <w:rPr>
                <w:sz w:val="20"/>
              </w:rPr>
              <w:t>Teknologi &amp; Infrastruktur</w:t>
            </w:r>
          </w:p>
        </w:tc>
        <w:tc>
          <w:tcPr>
            <w:tcW w:type="dxa" w:w="3118"/>
            <w:shd w:val="clear" w:color="auto" w:fill="DEEAF1"/>
          </w:tcPr>
          <w:p>
            <w:r>
              <w:rPr>
                <w:sz w:val="20"/>
              </w:rPr>
              <w:t>Legacy system yang masih beroperasi</w:t>
            </w:r>
          </w:p>
        </w:tc>
        <w:tc>
          <w:tcPr>
            <w:tcW w:type="dxa" w:w="3118"/>
            <w:shd w:val="clear" w:color="auto" w:fill="DEEAF1"/>
          </w:tcPr>
          <w:p>
            <w:r>
              <w:rPr>
                <w:sz w:val="20"/>
              </w:rPr>
              <w:t>Keterbatasan dalam penerapan kontrol keamanan modern</w:t>
            </w:r>
          </w:p>
        </w:tc>
      </w:tr>
      <w:tr>
        <w:tc>
          <w:tcPr>
            <w:tcW w:type="dxa" w:w="3118"/>
          </w:tcPr>
          <w:p>
            <w:r>
              <w:rPr>
                <w:sz w:val="20"/>
              </w:rPr>
              <w:t>Teknologi &amp; Infrastruktur</w:t>
            </w:r>
          </w:p>
        </w:tc>
        <w:tc>
          <w:tcPr>
            <w:tcW w:type="dxa" w:w="3118"/>
          </w:tcPr>
          <w:p>
            <w:r>
              <w:rPr>
                <w:sz w:val="20"/>
              </w:rPr>
              <w:t>Transformasi digital dan migrasi ke cloud</w:t>
            </w:r>
          </w:p>
        </w:tc>
        <w:tc>
          <w:tcPr>
            <w:tcW w:type="dxa" w:w="3118"/>
          </w:tcPr>
          <w:p>
            <w:r>
              <w:rPr>
                <w:sz w:val="20"/>
              </w:rPr>
              <w:t>Perubahan lanskap risiko keamanan informasi</w:t>
            </w:r>
          </w:p>
        </w:tc>
      </w:tr>
      <w:tr>
        <w:tc>
          <w:tcPr>
            <w:tcW w:type="dxa" w:w="3118"/>
            <w:shd w:val="clear" w:color="auto" w:fill="DEEAF1"/>
          </w:tcPr>
          <w:p>
            <w:r>
              <w:rPr>
                <w:sz w:val="20"/>
              </w:rPr>
              <w:t>Proses Bisnis</w:t>
            </w:r>
          </w:p>
        </w:tc>
        <w:tc>
          <w:tcPr>
            <w:tcW w:type="dxa" w:w="3118"/>
            <w:shd w:val="clear" w:color="auto" w:fill="DEEAF1"/>
          </w:tcPr>
          <w:p>
            <w:r>
              <w:rPr>
                <w:sz w:val="20"/>
              </w:rPr>
              <w:t>Ketergantungan tinggi pada sistem informasi untuk operasional inti</w:t>
            </w:r>
          </w:p>
        </w:tc>
        <w:tc>
          <w:tcPr>
            <w:tcW w:type="dxa" w:w="3118"/>
            <w:shd w:val="clear" w:color="auto" w:fill="DEEAF1"/>
          </w:tcPr>
          <w:p>
            <w:r>
              <w:rPr>
                <w:sz w:val="20"/>
              </w:rPr>
              <w:t>Risiko gangguan bisnis akibat insiden keamanan informasi</w:t>
            </w:r>
          </w:p>
        </w:tc>
      </w:tr>
      <w:tr>
        <w:tc>
          <w:tcPr>
            <w:tcW w:type="dxa" w:w="3118"/>
          </w:tcPr>
          <w:p>
            <w:r>
              <w:rPr>
                <w:sz w:val="20"/>
              </w:rPr>
              <w:t>Proses Bisnis</w:t>
            </w:r>
          </w:p>
        </w:tc>
        <w:tc>
          <w:tcPr>
            <w:tcW w:type="dxa" w:w="3118"/>
          </w:tcPr>
          <w:p>
            <w:r>
              <w:rPr>
                <w:sz w:val="20"/>
              </w:rPr>
              <w:t>Pengelolaan data nasabah dalam volume besar</w:t>
            </w:r>
          </w:p>
        </w:tc>
        <w:tc>
          <w:tcPr>
            <w:tcW w:type="dxa" w:w="3118"/>
          </w:tcPr>
          <w:p>
            <w:r>
              <w:rPr>
                <w:sz w:val="20"/>
              </w:rPr>
              <w:t>Risiko kebocoran dan penyalahgunaan data pribadi</w:t>
            </w:r>
          </w:p>
        </w:tc>
      </w:tr>
      <w:tr>
        <w:tc>
          <w:tcPr>
            <w:tcW w:type="dxa" w:w="3118"/>
            <w:shd w:val="clear" w:color="auto" w:fill="DEEAF1"/>
          </w:tcPr>
          <w:p>
            <w:r>
              <w:rPr>
                <w:sz w:val="20"/>
              </w:rPr>
              <w:t>Tata Kelola</w:t>
            </w:r>
          </w:p>
        </w:tc>
        <w:tc>
          <w:tcPr>
            <w:tcW w:type="dxa" w:w="3118"/>
            <w:shd w:val="clear" w:color="auto" w:fill="DEEAF1"/>
          </w:tcPr>
          <w:p>
            <w:r>
              <w:rPr>
                <w:sz w:val="20"/>
              </w:rPr>
              <w:t>Budaya keamanan informasi yang perlu terus ditingkatkan</w:t>
            </w:r>
          </w:p>
        </w:tc>
        <w:tc>
          <w:tcPr>
            <w:tcW w:type="dxa" w:w="3118"/>
            <w:shd w:val="clear" w:color="auto" w:fill="DEEAF1"/>
          </w:tcPr>
          <w:p>
            <w:r>
              <w:rPr>
                <w:sz w:val="20"/>
              </w:rPr>
              <w:t>Kepatuhan terhadap kebijakan yang belum konsisten</w:t>
            </w:r>
          </w:p>
        </w:tc>
      </w:tr>
      <w:tr>
        <w:tc>
          <w:tcPr>
            <w:tcW w:type="dxa" w:w="3118"/>
          </w:tcPr>
          <w:p>
            <w:r>
              <w:rPr>
                <w:sz w:val="20"/>
              </w:rPr>
              <w:t>Keuangan</w:t>
            </w:r>
          </w:p>
        </w:tc>
        <w:tc>
          <w:tcPr>
            <w:tcW w:type="dxa" w:w="3118"/>
          </w:tcPr>
          <w:p>
            <w:r>
              <w:rPr>
                <w:sz w:val="20"/>
              </w:rPr>
              <w:t>Alokasi anggaran untuk keamanan informasi</w:t>
            </w:r>
          </w:p>
        </w:tc>
        <w:tc>
          <w:tcPr>
            <w:tcW w:type="dxa" w:w="3118"/>
          </w:tcPr>
          <w:p>
            <w:r>
              <w:rPr>
                <w:sz w:val="20"/>
              </w:rPr>
              <w:t>Ketersediaan sumber daya untuk implementasi kontrol keamanan</w:t>
            </w:r>
          </w:p>
        </w:tc>
      </w:tr>
    </w:tbl>
    <w:p>
      <w:r>
        <w:br w:type="page"/>
      </w:r>
    </w:p>
    <w:p>
      <w:pPr>
        <w:spacing w:before="280" w:after="120"/>
        <w:pBdr>
          <w:bottom w:val="single" w:sz="6" w:color="1F497D"/>
        </w:pBdr>
      </w:pPr>
      <w:r>
        <w:rPr>
          <w:b/>
          <w:color w:val="1F497D"/>
          <w:sz w:val="28"/>
        </w:rPr>
        <w:t>3. PIHAK-PIHAK YANG BERKEPENTINGAN (Klausul 4.2)</w:t>
      </w:r>
    </w:p>
    <w:p>
      <w:pPr>
        <w:spacing w:before="40" w:after="80"/>
      </w:pPr>
      <w:r>
        <w:rPr>
          <w:sz w:val="22"/>
        </w:rPr>
        <w:t>PT Equity Life Indonesia telah mengidentifikasi pihak-pihak yang berkepentingan (interested parties) yang relevan dengan ISMS beserta kebutuhan dan harapan mereka:</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Pihak Berkepentingan</w:t>
            </w:r>
          </w:p>
        </w:tc>
        <w:tc>
          <w:tcPr>
            <w:tcW w:type="dxa" w:w="2339"/>
            <w:shd w:val="clear" w:color="auto" w:fill="1F497D"/>
          </w:tcPr>
          <w:p>
            <w:r>
              <w:rPr>
                <w:b/>
                <w:color w:val="FFFFFF"/>
                <w:sz w:val="18"/>
              </w:rPr>
              <w:t>Kebutuhan &amp; Harapan</w:t>
            </w:r>
          </w:p>
        </w:tc>
        <w:tc>
          <w:tcPr>
            <w:tcW w:type="dxa" w:w="2339"/>
            <w:shd w:val="clear" w:color="auto" w:fill="1F497D"/>
          </w:tcPr>
          <w:p>
            <w:r>
              <w:rPr>
                <w:b/>
                <w:color w:val="FFFFFF"/>
                <w:sz w:val="18"/>
              </w:rPr>
              <w:t>Persyaratan Relevan</w:t>
            </w:r>
          </w:p>
        </w:tc>
        <w:tc>
          <w:tcPr>
            <w:tcW w:type="dxa" w:w="2339"/>
            <w:shd w:val="clear" w:color="auto" w:fill="1F497D"/>
          </w:tcPr>
          <w:p>
            <w:r>
              <w:rPr>
                <w:b/>
                <w:color w:val="FFFFFF"/>
                <w:sz w:val="18"/>
              </w:rPr>
              <w:t>Cara Pemenuhan</w:t>
            </w:r>
          </w:p>
        </w:tc>
      </w:tr>
      <w:tr>
        <w:tc>
          <w:tcPr>
            <w:tcW w:type="dxa" w:w="2339"/>
            <w:shd w:val="clear" w:color="auto" w:fill="DEEAF1"/>
          </w:tcPr>
          <w:p>
            <w:r>
              <w:rPr>
                <w:sz w:val="18"/>
              </w:rPr>
              <w:t>Pemegang Polis / Nasabah</w:t>
            </w:r>
          </w:p>
        </w:tc>
        <w:tc>
          <w:tcPr>
            <w:tcW w:type="dxa" w:w="2339"/>
            <w:shd w:val="clear" w:color="auto" w:fill="DEEAF1"/>
          </w:tcPr>
          <w:p>
            <w:r>
              <w:rPr>
                <w:sz w:val="18"/>
              </w:rPr>
              <w:t>Keamanan data pribadi, kesehatan, dan keuangan; keandalan layanan</w:t>
            </w:r>
          </w:p>
        </w:tc>
        <w:tc>
          <w:tcPr>
            <w:tcW w:type="dxa" w:w="2339"/>
            <w:shd w:val="clear" w:color="auto" w:fill="DEEAF1"/>
          </w:tcPr>
          <w:p>
            <w:r>
              <w:rPr>
                <w:sz w:val="18"/>
              </w:rPr>
              <w:t>UU PDP No.27/2022; POJK; hak privasi nasabah</w:t>
            </w:r>
          </w:p>
        </w:tc>
        <w:tc>
          <w:tcPr>
            <w:tcW w:type="dxa" w:w="2339"/>
            <w:shd w:val="clear" w:color="auto" w:fill="DEEAF1"/>
          </w:tcPr>
          <w:p>
            <w:r>
              <w:rPr>
                <w:sz w:val="18"/>
              </w:rPr>
              <w:t>Implementasi kontrol perlindungan data; enkripsi; kebijakan privasi</w:t>
            </w:r>
          </w:p>
        </w:tc>
      </w:tr>
      <w:tr>
        <w:tc>
          <w:tcPr>
            <w:tcW w:type="dxa" w:w="2339"/>
          </w:tcPr>
          <w:p>
            <w:r>
              <w:rPr>
                <w:sz w:val="18"/>
              </w:rPr>
              <w:t>Otoritas Jasa Keuangan (OJK)</w:t>
            </w:r>
          </w:p>
        </w:tc>
        <w:tc>
          <w:tcPr>
            <w:tcW w:type="dxa" w:w="2339"/>
          </w:tcPr>
          <w:p>
            <w:r>
              <w:rPr>
                <w:sz w:val="18"/>
              </w:rPr>
              <w:t>Kepatuhan regulasi TI dan keamanan siber; pelaporan insiden</w:t>
            </w:r>
          </w:p>
        </w:tc>
        <w:tc>
          <w:tcPr>
            <w:tcW w:type="dxa" w:w="2339"/>
          </w:tcPr>
          <w:p>
            <w:r>
              <w:rPr>
                <w:sz w:val="18"/>
              </w:rPr>
              <w:t>POJK TI; SEOJK; POJK Perasuransian</w:t>
            </w:r>
          </w:p>
        </w:tc>
        <w:tc>
          <w:tcPr>
            <w:tcW w:type="dxa" w:w="2339"/>
          </w:tcPr>
          <w:p>
            <w:r>
              <w:rPr>
                <w:sz w:val="18"/>
              </w:rPr>
              <w:t>Audit kepatuhan; pelaporan reguler; pemenuhan persyaratan TI</w:t>
            </w:r>
          </w:p>
        </w:tc>
      </w:tr>
      <w:tr>
        <w:tc>
          <w:tcPr>
            <w:tcW w:type="dxa" w:w="2339"/>
            <w:shd w:val="clear" w:color="auto" w:fill="DEEAF1"/>
          </w:tcPr>
          <w:p>
            <w:r>
              <w:rPr>
                <w:sz w:val="18"/>
              </w:rPr>
              <w:t>Pemegang Saham / Investor</w:t>
            </w:r>
          </w:p>
        </w:tc>
        <w:tc>
          <w:tcPr>
            <w:tcW w:type="dxa" w:w="2339"/>
            <w:shd w:val="clear" w:color="auto" w:fill="DEEAF1"/>
          </w:tcPr>
          <w:p>
            <w:r>
              <w:rPr>
                <w:sz w:val="18"/>
              </w:rPr>
              <w:t>Tata kelola yang baik; mitigasi risiko; kelangsungan bisnis</w:t>
            </w:r>
          </w:p>
        </w:tc>
        <w:tc>
          <w:tcPr>
            <w:tcW w:type="dxa" w:w="2339"/>
            <w:shd w:val="clear" w:color="auto" w:fill="DEEAF1"/>
          </w:tcPr>
          <w:p>
            <w:r>
              <w:rPr>
                <w:sz w:val="18"/>
              </w:rPr>
              <w:t>Good Corporate Governance; laporan tahunan</w:t>
            </w:r>
          </w:p>
        </w:tc>
        <w:tc>
          <w:tcPr>
            <w:tcW w:type="dxa" w:w="2339"/>
            <w:shd w:val="clear" w:color="auto" w:fill="DEEAF1"/>
          </w:tcPr>
          <w:p>
            <w:r>
              <w:rPr>
                <w:sz w:val="18"/>
              </w:rPr>
              <w:t>Program manajemen risiko; audit internal; pelaporan risiko</w:t>
            </w:r>
          </w:p>
        </w:tc>
      </w:tr>
      <w:tr>
        <w:tc>
          <w:tcPr>
            <w:tcW w:type="dxa" w:w="2339"/>
          </w:tcPr>
          <w:p>
            <w:r>
              <w:rPr>
                <w:sz w:val="18"/>
              </w:rPr>
              <w:t>Karyawan</w:t>
            </w:r>
          </w:p>
        </w:tc>
        <w:tc>
          <w:tcPr>
            <w:tcW w:type="dxa" w:w="2339"/>
          </w:tcPr>
          <w:p>
            <w:r>
              <w:rPr>
                <w:sz w:val="18"/>
              </w:rPr>
              <w:t>Lingkungan kerja yang aman; panduan yang jelas tentang keamanan</w:t>
            </w:r>
          </w:p>
        </w:tc>
        <w:tc>
          <w:tcPr>
            <w:tcW w:type="dxa" w:w="2339"/>
          </w:tcPr>
          <w:p>
            <w:r>
              <w:rPr>
                <w:sz w:val="18"/>
              </w:rPr>
              <w:t>Perjanjian kerahasiaan; SOP; pelatihan</w:t>
            </w:r>
          </w:p>
        </w:tc>
        <w:tc>
          <w:tcPr>
            <w:tcW w:type="dxa" w:w="2339"/>
          </w:tcPr>
          <w:p>
            <w:r>
              <w:rPr>
                <w:sz w:val="18"/>
              </w:rPr>
              <w:t>Kebijakan ISMS; pelatihan kesadaran; panduan penggunaan TI</w:t>
            </w:r>
          </w:p>
        </w:tc>
      </w:tr>
      <w:tr>
        <w:tc>
          <w:tcPr>
            <w:tcW w:type="dxa" w:w="2339"/>
            <w:shd w:val="clear" w:color="auto" w:fill="DEEAF1"/>
          </w:tcPr>
          <w:p>
            <w:r>
              <w:rPr>
                <w:sz w:val="18"/>
              </w:rPr>
              <w:t>Mitra &amp; Vendor</w:t>
            </w:r>
          </w:p>
        </w:tc>
        <w:tc>
          <w:tcPr>
            <w:tcW w:type="dxa" w:w="2339"/>
            <w:shd w:val="clear" w:color="auto" w:fill="DEEAF1"/>
          </w:tcPr>
          <w:p>
            <w:r>
              <w:rPr>
                <w:sz w:val="18"/>
              </w:rPr>
              <w:t>Kejelasan persyaratan keamanan dalam kontrak; kolaborasi yang aman</w:t>
            </w:r>
          </w:p>
        </w:tc>
        <w:tc>
          <w:tcPr>
            <w:tcW w:type="dxa" w:w="2339"/>
            <w:shd w:val="clear" w:color="auto" w:fill="DEEAF1"/>
          </w:tcPr>
          <w:p>
            <w:r>
              <w:rPr>
                <w:sz w:val="18"/>
              </w:rPr>
              <w:t>Perjanjian NDA; SLA; kontrak pengadaan</w:t>
            </w:r>
          </w:p>
        </w:tc>
        <w:tc>
          <w:tcPr>
            <w:tcW w:type="dxa" w:w="2339"/>
            <w:shd w:val="clear" w:color="auto" w:fill="DEEAF1"/>
          </w:tcPr>
          <w:p>
            <w:r>
              <w:rPr>
                <w:sz w:val="18"/>
              </w:rPr>
              <w:t>Vendor security assessment; klausul keamanan dalam kontrak</w:t>
            </w:r>
          </w:p>
        </w:tc>
      </w:tr>
      <w:tr>
        <w:tc>
          <w:tcPr>
            <w:tcW w:type="dxa" w:w="2339"/>
          </w:tcPr>
          <w:p>
            <w:r>
              <w:rPr>
                <w:sz w:val="18"/>
              </w:rPr>
              <w:t>Reasuransi</w:t>
            </w:r>
          </w:p>
        </w:tc>
        <w:tc>
          <w:tcPr>
            <w:tcW w:type="dxa" w:w="2339"/>
          </w:tcPr>
          <w:p>
            <w:r>
              <w:rPr>
                <w:sz w:val="18"/>
              </w:rPr>
              <w:t>Keamanan data yang dibagikan; keandalan pelaporan</w:t>
            </w:r>
          </w:p>
        </w:tc>
        <w:tc>
          <w:tcPr>
            <w:tcW w:type="dxa" w:w="2339"/>
          </w:tcPr>
          <w:p>
            <w:r>
              <w:rPr>
                <w:sz w:val="18"/>
              </w:rPr>
              <w:t>Perjanjian reasuransi; standar industri</w:t>
            </w:r>
          </w:p>
        </w:tc>
        <w:tc>
          <w:tcPr>
            <w:tcW w:type="dxa" w:w="2339"/>
          </w:tcPr>
          <w:p>
            <w:r>
              <w:rPr>
                <w:sz w:val="18"/>
              </w:rPr>
              <w:t>Enkripsi data; perjanjian pertukaran data yang aman</w:t>
            </w:r>
          </w:p>
        </w:tc>
      </w:tr>
      <w:tr>
        <w:tc>
          <w:tcPr>
            <w:tcW w:type="dxa" w:w="2339"/>
            <w:shd w:val="clear" w:color="auto" w:fill="DEEAF1"/>
          </w:tcPr>
          <w:p>
            <w:r>
              <w:rPr>
                <w:sz w:val="18"/>
              </w:rPr>
              <w:t>Auditor Eksternal / Lembaga Sertifikasi</w:t>
            </w:r>
          </w:p>
        </w:tc>
        <w:tc>
          <w:tcPr>
            <w:tcW w:type="dxa" w:w="2339"/>
            <w:shd w:val="clear" w:color="auto" w:fill="DEEAF1"/>
          </w:tcPr>
          <w:p>
            <w:r>
              <w:rPr>
                <w:sz w:val="18"/>
              </w:rPr>
              <w:t>Akses ke dokumentasi ISMS; bukti implementasi</w:t>
            </w:r>
          </w:p>
        </w:tc>
        <w:tc>
          <w:tcPr>
            <w:tcW w:type="dxa" w:w="2339"/>
            <w:shd w:val="clear" w:color="auto" w:fill="DEEAF1"/>
          </w:tcPr>
          <w:p>
            <w:r>
              <w:rPr>
                <w:sz w:val="18"/>
              </w:rPr>
              <w:t>ISO 27001:2022; standar audit</w:t>
            </w:r>
          </w:p>
        </w:tc>
        <w:tc>
          <w:tcPr>
            <w:tcW w:type="dxa" w:w="2339"/>
            <w:shd w:val="clear" w:color="auto" w:fill="DEEAF1"/>
          </w:tcPr>
          <w:p>
            <w:r>
              <w:rPr>
                <w:sz w:val="18"/>
              </w:rPr>
              <w:t>Dokumentasi ISMS yang lengkap; rekam jejak audit</w:t>
            </w:r>
          </w:p>
        </w:tc>
      </w:tr>
      <w:tr>
        <w:tc>
          <w:tcPr>
            <w:tcW w:type="dxa" w:w="2339"/>
          </w:tcPr>
          <w:p>
            <w:r>
              <w:rPr>
                <w:sz w:val="18"/>
              </w:rPr>
              <w:t>Direksi &amp; Manajemen</w:t>
            </w:r>
          </w:p>
        </w:tc>
        <w:tc>
          <w:tcPr>
            <w:tcW w:type="dxa" w:w="2339"/>
          </w:tcPr>
          <w:p>
            <w:r>
              <w:rPr>
                <w:sz w:val="18"/>
              </w:rPr>
              <w:t>Laporan status ISMS; risiko yang terkelola; kepatuhan</w:t>
            </w:r>
          </w:p>
        </w:tc>
        <w:tc>
          <w:tcPr>
            <w:tcW w:type="dxa" w:w="2339"/>
          </w:tcPr>
          <w:p>
            <w:r>
              <w:rPr>
                <w:sz w:val="18"/>
              </w:rPr>
              <w:t>Laporan manajemen; tinjauan ISMS</w:t>
            </w:r>
          </w:p>
        </w:tc>
        <w:tc>
          <w:tcPr>
            <w:tcW w:type="dxa" w:w="2339"/>
          </w:tcPr>
          <w:p>
            <w:r>
              <w:rPr>
                <w:sz w:val="18"/>
              </w:rPr>
              <w:t>Dashboard keamanan; laporan kinerja ISMS berkala</w:t>
            </w:r>
          </w:p>
        </w:tc>
      </w:tr>
    </w:tbl>
    <w:p>
      <w:r>
        <w:br w:type="page"/>
      </w:r>
    </w:p>
    <w:p>
      <w:pPr>
        <w:spacing w:before="280" w:after="120"/>
        <w:pBdr>
          <w:bottom w:val="single" w:sz="6" w:color="1F497D"/>
        </w:pBdr>
      </w:pPr>
      <w:r>
        <w:rPr>
          <w:b/>
          <w:color w:val="1F497D"/>
          <w:sz w:val="28"/>
        </w:rPr>
        <w:t>4. RUANG LINGKUP ISMS (Klausul 4.3)</w:t>
      </w:r>
    </w:p>
    <w:p>
      <w:pPr>
        <w:spacing w:before="200" w:after="120"/>
      </w:pPr>
      <w:r>
        <w:rPr>
          <w:b/>
          <w:color w:val="2E74B5"/>
          <w:sz w:val="24"/>
        </w:rPr>
        <w:t>4.1 Pernyataan Ruang Lingkup</w:t>
      </w:r>
    </w:p>
    <w:tbl>
      <w:tblPr>
        <w:tblStyle w:val="TableGrid"/>
        <w:tblW w:type="auto" w:w="0"/>
        <w:tblLook w:firstColumn="1" w:firstRow="1" w:lastColumn="0" w:lastRow="0" w:noHBand="0" w:noVBand="1" w:val="04A0"/>
      </w:tblPr>
      <w:tblGrid>
        <w:gridCol w:w="9355"/>
      </w:tblGrid>
      <w:tr>
        <w:tc>
          <w:tcPr>
            <w:tcW w:type="dxa" w:w="9355"/>
            <w:shd w:val="clear" w:color="auto" w:fill="EBF3FB"/>
          </w:tcPr>
          <w:p>
            <w:pPr>
              <w:spacing w:before="200" w:after="200"/>
              <w:ind w:left="283"/>
            </w:pPr>
            <w:r>
              <w:rPr>
                <w:b/>
                <w:color w:val="1F497D"/>
                <w:sz w:val="22"/>
              </w:rPr>
              <w:t>Sistem Manajemen Keamanan Informasi (ISMS) PT Equity Life Indonesia mencakup seluruh proses pengelolaan, perlindungan, dan pengendalian aset informasi yang mendukung operasional bisnis asuransi jiwa, meliputi: sistem administrasi polis dan klaim, sistem manajemen nasabah (CRM), sistem aktuaria dan pelaporan keuangan, infrastruktur teknologi informasi, serta seluruh data nasabah dan informasi bisnis yang diproses di kantor pusat Jakarta dan seluruh jaringan kantor cabang PT Equity Life Indonesia di Indonesia.</w:t>
            </w:r>
          </w:p>
        </w:tc>
      </w:tr>
    </w:tbl>
    <w:p/>
    <w:p>
      <w:pPr>
        <w:spacing w:before="200" w:after="120"/>
      </w:pPr>
      <w:r>
        <w:rPr>
          <w:b/>
          <w:color w:val="2E74B5"/>
          <w:sz w:val="24"/>
        </w:rPr>
        <w:t>4.2 Proses Bisnis dalam Ruang Lingkup</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Proses Bisnis</w:t>
            </w:r>
          </w:p>
        </w:tc>
        <w:tc>
          <w:tcPr>
            <w:tcW w:type="dxa" w:w="3118"/>
            <w:shd w:val="clear" w:color="auto" w:fill="1F497D"/>
          </w:tcPr>
          <w:p>
            <w:r>
              <w:rPr>
                <w:b/>
                <w:color w:val="FFFFFF"/>
                <w:sz w:val="20"/>
              </w:rPr>
              <w:t>Deskripsi</w:t>
            </w:r>
          </w:p>
        </w:tc>
        <w:tc>
          <w:tcPr>
            <w:tcW w:type="dxa" w:w="3118"/>
            <w:shd w:val="clear" w:color="auto" w:fill="1F497D"/>
          </w:tcPr>
          <w:p>
            <w:r>
              <w:rPr>
                <w:b/>
                <w:color w:val="FFFFFF"/>
                <w:sz w:val="20"/>
              </w:rPr>
              <w:t>Tingkat Kekritisan</w:t>
            </w:r>
          </w:p>
        </w:tc>
      </w:tr>
      <w:tr>
        <w:tc>
          <w:tcPr>
            <w:tcW w:type="dxa" w:w="3118"/>
            <w:shd w:val="clear" w:color="auto" w:fill="DEEAF1"/>
          </w:tcPr>
          <w:p>
            <w:r>
              <w:rPr>
                <w:sz w:val="20"/>
              </w:rPr>
              <w:t>Administrasi Polis</w:t>
            </w:r>
          </w:p>
        </w:tc>
        <w:tc>
          <w:tcPr>
            <w:tcW w:type="dxa" w:w="3118"/>
            <w:shd w:val="clear" w:color="auto" w:fill="DEEAF1"/>
          </w:tcPr>
          <w:p>
            <w:r>
              <w:rPr>
                <w:sz w:val="20"/>
              </w:rPr>
              <w:t>Penerbitan polis baru, pembaruan polis, perubahan polis, pembatalan polis</w:t>
            </w:r>
          </w:p>
        </w:tc>
        <w:tc>
          <w:tcPr>
            <w:tcW w:type="dxa" w:w="3118"/>
            <w:shd w:val="clear" w:color="auto" w:fill="DEEAF1"/>
          </w:tcPr>
          <w:p>
            <w:r>
              <w:rPr>
                <w:b/>
                <w:color w:val="C00000"/>
                <w:sz w:val="20"/>
              </w:rPr>
              <w:t>KRITIS</w:t>
            </w:r>
          </w:p>
        </w:tc>
      </w:tr>
      <w:tr>
        <w:tc>
          <w:tcPr>
            <w:tcW w:type="dxa" w:w="3118"/>
          </w:tcPr>
          <w:p>
            <w:r>
              <w:rPr>
                <w:sz w:val="20"/>
              </w:rPr>
              <w:t>Manajemen Klaim</w:t>
            </w:r>
          </w:p>
        </w:tc>
        <w:tc>
          <w:tcPr>
            <w:tcW w:type="dxa" w:w="3118"/>
          </w:tcPr>
          <w:p>
            <w:r>
              <w:rPr>
                <w:sz w:val="20"/>
              </w:rPr>
              <w:t>Pengajuan klaim, verifikasi, penilaian, pembayaran klaim</w:t>
            </w:r>
          </w:p>
        </w:tc>
        <w:tc>
          <w:tcPr>
            <w:tcW w:type="dxa" w:w="3118"/>
          </w:tcPr>
          <w:p>
            <w:r>
              <w:rPr>
                <w:b/>
                <w:color w:val="C00000"/>
                <w:sz w:val="20"/>
              </w:rPr>
              <w:t>KRITIS</w:t>
            </w:r>
          </w:p>
        </w:tc>
      </w:tr>
      <w:tr>
        <w:tc>
          <w:tcPr>
            <w:tcW w:type="dxa" w:w="3118"/>
            <w:shd w:val="clear" w:color="auto" w:fill="DEEAF1"/>
          </w:tcPr>
          <w:p>
            <w:r>
              <w:rPr>
                <w:sz w:val="20"/>
              </w:rPr>
              <w:t>Manajemen Nasabah</w:t>
            </w:r>
          </w:p>
        </w:tc>
        <w:tc>
          <w:tcPr>
            <w:tcW w:type="dxa" w:w="3118"/>
            <w:shd w:val="clear" w:color="auto" w:fill="DEEAF1"/>
          </w:tcPr>
          <w:p>
            <w:r>
              <w:rPr>
                <w:sz w:val="20"/>
              </w:rPr>
              <w:t>Onboarding nasabah, KYC, pengelolaan data nasabah, layanan pelanggan</w:t>
            </w:r>
          </w:p>
        </w:tc>
        <w:tc>
          <w:tcPr>
            <w:tcW w:type="dxa" w:w="3118"/>
            <w:shd w:val="clear" w:color="auto" w:fill="DEEAF1"/>
          </w:tcPr>
          <w:p>
            <w:r>
              <w:rPr>
                <w:b/>
                <w:color w:val="C00000"/>
                <w:sz w:val="20"/>
              </w:rPr>
              <w:t>KRITIS</w:t>
            </w:r>
          </w:p>
        </w:tc>
      </w:tr>
      <w:tr>
        <w:tc>
          <w:tcPr>
            <w:tcW w:type="dxa" w:w="3118"/>
          </w:tcPr>
          <w:p>
            <w:r>
              <w:rPr>
                <w:sz w:val="20"/>
              </w:rPr>
              <w:t>Aktuaria &amp; Manajemen Risiko</w:t>
            </w:r>
          </w:p>
        </w:tc>
        <w:tc>
          <w:tcPr>
            <w:tcW w:type="dxa" w:w="3118"/>
          </w:tcPr>
          <w:p>
            <w:r>
              <w:rPr>
                <w:sz w:val="20"/>
              </w:rPr>
              <w:t>Perhitungan premi, cadangan teknis, analisis risiko portofolio</w:t>
            </w:r>
          </w:p>
        </w:tc>
        <w:tc>
          <w:tcPr>
            <w:tcW w:type="dxa" w:w="3118"/>
          </w:tcPr>
          <w:p>
            <w:r>
              <w:rPr>
                <w:b/>
                <w:color w:val="C00000"/>
                <w:sz w:val="20"/>
              </w:rPr>
              <w:t>KRITIS</w:t>
            </w:r>
          </w:p>
        </w:tc>
      </w:tr>
      <w:tr>
        <w:tc>
          <w:tcPr>
            <w:tcW w:type="dxa" w:w="3118"/>
            <w:shd w:val="clear" w:color="auto" w:fill="DEEAF1"/>
          </w:tcPr>
          <w:p>
            <w:r>
              <w:rPr>
                <w:sz w:val="20"/>
              </w:rPr>
              <w:t>Keuangan &amp; Akuntansi</w:t>
            </w:r>
          </w:p>
        </w:tc>
        <w:tc>
          <w:tcPr>
            <w:tcW w:type="dxa" w:w="3118"/>
            <w:shd w:val="clear" w:color="auto" w:fill="DEEAF1"/>
          </w:tcPr>
          <w:p>
            <w:r>
              <w:rPr>
                <w:sz w:val="20"/>
              </w:rPr>
              <w:t>Pengelolaan keuangan, pelaporan ke OJK, laporan keuangan</w:t>
            </w:r>
          </w:p>
        </w:tc>
        <w:tc>
          <w:tcPr>
            <w:tcW w:type="dxa" w:w="3118"/>
            <w:shd w:val="clear" w:color="auto" w:fill="DEEAF1"/>
          </w:tcPr>
          <w:p>
            <w:r>
              <w:rPr>
                <w:b/>
                <w:color w:val="FF8C00"/>
                <w:sz w:val="20"/>
              </w:rPr>
              <w:t>TINGGI</w:t>
            </w:r>
          </w:p>
        </w:tc>
      </w:tr>
      <w:tr>
        <w:tc>
          <w:tcPr>
            <w:tcW w:type="dxa" w:w="3118"/>
          </w:tcPr>
          <w:p>
            <w:r>
              <w:rPr>
                <w:sz w:val="20"/>
              </w:rPr>
              <w:t>Pemasaran &amp; Distribusi</w:t>
            </w:r>
          </w:p>
        </w:tc>
        <w:tc>
          <w:tcPr>
            <w:tcW w:type="dxa" w:w="3118"/>
          </w:tcPr>
          <w:p>
            <w:r>
              <w:rPr>
                <w:sz w:val="20"/>
              </w:rPr>
              <w:t>Manajemen agen, kampanye pemasaran, penjualan produk digital</w:t>
            </w:r>
          </w:p>
        </w:tc>
        <w:tc>
          <w:tcPr>
            <w:tcW w:type="dxa" w:w="3118"/>
          </w:tcPr>
          <w:p>
            <w:r>
              <w:rPr>
                <w:b/>
                <w:color w:val="FF8C00"/>
                <w:sz w:val="20"/>
              </w:rPr>
              <w:t>TINGGI</w:t>
            </w:r>
          </w:p>
        </w:tc>
      </w:tr>
      <w:tr>
        <w:tc>
          <w:tcPr>
            <w:tcW w:type="dxa" w:w="3118"/>
            <w:shd w:val="clear" w:color="auto" w:fill="DEEAF1"/>
          </w:tcPr>
          <w:p>
            <w:r>
              <w:rPr>
                <w:sz w:val="20"/>
              </w:rPr>
              <w:t>Sumber Daya Manusia</w:t>
            </w:r>
          </w:p>
        </w:tc>
        <w:tc>
          <w:tcPr>
            <w:tcW w:type="dxa" w:w="3118"/>
            <w:shd w:val="clear" w:color="auto" w:fill="DEEAF1"/>
          </w:tcPr>
          <w:p>
            <w:r>
              <w:rPr>
                <w:sz w:val="20"/>
              </w:rPr>
              <w:t>Penggajian, data karyawan, pengelolaan benefit</w:t>
            </w:r>
          </w:p>
        </w:tc>
        <w:tc>
          <w:tcPr>
            <w:tcW w:type="dxa" w:w="3118"/>
            <w:shd w:val="clear" w:color="auto" w:fill="DEEAF1"/>
          </w:tcPr>
          <w:p>
            <w:r>
              <w:rPr>
                <w:b/>
                <w:color w:val="FF8C00"/>
                <w:sz w:val="20"/>
              </w:rPr>
              <w:t>TINGGI</w:t>
            </w:r>
          </w:p>
        </w:tc>
      </w:tr>
      <w:tr>
        <w:tc>
          <w:tcPr>
            <w:tcW w:type="dxa" w:w="3118"/>
          </w:tcPr>
          <w:p>
            <w:r>
              <w:rPr>
                <w:sz w:val="20"/>
              </w:rPr>
              <w:t>Teknologi Informasi</w:t>
            </w:r>
          </w:p>
        </w:tc>
        <w:tc>
          <w:tcPr>
            <w:tcW w:type="dxa" w:w="3118"/>
          </w:tcPr>
          <w:p>
            <w:r>
              <w:rPr>
                <w:sz w:val="20"/>
              </w:rPr>
              <w:t>Pengelolaan infrastruktur, keamanan siber, helpdesk</w:t>
            </w:r>
          </w:p>
        </w:tc>
        <w:tc>
          <w:tcPr>
            <w:tcW w:type="dxa" w:w="3118"/>
          </w:tcPr>
          <w:p>
            <w:r>
              <w:rPr>
                <w:b/>
                <w:color w:val="C00000"/>
                <w:sz w:val="20"/>
              </w:rPr>
              <w:t>KRITIS</w:t>
            </w:r>
          </w:p>
        </w:tc>
      </w:tr>
      <w:tr>
        <w:tc>
          <w:tcPr>
            <w:tcW w:type="dxa" w:w="3118"/>
            <w:shd w:val="clear" w:color="auto" w:fill="DEEAF1"/>
          </w:tcPr>
          <w:p>
            <w:r>
              <w:rPr>
                <w:sz w:val="20"/>
              </w:rPr>
              <w:t>Kepatuhan &amp; Audit</w:t>
            </w:r>
          </w:p>
        </w:tc>
        <w:tc>
          <w:tcPr>
            <w:tcW w:type="dxa" w:w="3118"/>
            <w:shd w:val="clear" w:color="auto" w:fill="DEEAF1"/>
          </w:tcPr>
          <w:p>
            <w:r>
              <w:rPr>
                <w:sz w:val="20"/>
              </w:rPr>
              <w:t>Pelaporan regulasi, audit internal, manajemen risiko</w:t>
            </w:r>
          </w:p>
        </w:tc>
        <w:tc>
          <w:tcPr>
            <w:tcW w:type="dxa" w:w="3118"/>
            <w:shd w:val="clear" w:color="auto" w:fill="DEEAF1"/>
          </w:tcPr>
          <w:p>
            <w:r>
              <w:rPr>
                <w:b/>
                <w:color w:val="FF8C00"/>
                <w:sz w:val="20"/>
              </w:rPr>
              <w:t>TINGGI</w:t>
            </w:r>
          </w:p>
        </w:tc>
      </w:tr>
    </w:tbl>
    <w:p>
      <w:pPr>
        <w:spacing w:before="200" w:after="120"/>
      </w:pPr>
      <w:r>
        <w:rPr>
          <w:b/>
          <w:color w:val="2E74B5"/>
          <w:sz w:val="24"/>
        </w:rPr>
        <w:t>4.3 Lokasi dalam Ruang Lingkup</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Lokasi</w:t>
            </w:r>
          </w:p>
        </w:tc>
        <w:tc>
          <w:tcPr>
            <w:tcW w:type="dxa" w:w="3118"/>
            <w:shd w:val="clear" w:color="auto" w:fill="1F497D"/>
          </w:tcPr>
          <w:p>
            <w:r>
              <w:rPr>
                <w:b/>
                <w:color w:val="FFFFFF"/>
                <w:sz w:val="20"/>
              </w:rPr>
              <w:t>Wilayah</w:t>
            </w:r>
          </w:p>
        </w:tc>
        <w:tc>
          <w:tcPr>
            <w:tcW w:type="dxa" w:w="3118"/>
            <w:shd w:val="clear" w:color="auto" w:fill="1F497D"/>
          </w:tcPr>
          <w:p>
            <w:r>
              <w:rPr>
                <w:b/>
                <w:color w:val="FFFFFF"/>
                <w:sz w:val="20"/>
              </w:rPr>
              <w:t>Fungsi</w:t>
            </w:r>
          </w:p>
        </w:tc>
      </w:tr>
      <w:tr>
        <w:tc>
          <w:tcPr>
            <w:tcW w:type="dxa" w:w="3118"/>
            <w:shd w:val="clear" w:color="auto" w:fill="DEEAF1"/>
          </w:tcPr>
          <w:p>
            <w:r>
              <w:rPr>
                <w:sz w:val="20"/>
              </w:rPr>
              <w:t>Kantor Pusat</w:t>
            </w:r>
          </w:p>
        </w:tc>
        <w:tc>
          <w:tcPr>
            <w:tcW w:type="dxa" w:w="3118"/>
            <w:shd w:val="clear" w:color="auto" w:fill="DEEAF1"/>
          </w:tcPr>
          <w:p>
            <w:r>
              <w:rPr>
                <w:sz w:val="20"/>
              </w:rPr>
              <w:t>Jakarta</w:t>
            </w:r>
          </w:p>
        </w:tc>
        <w:tc>
          <w:tcPr>
            <w:tcW w:type="dxa" w:w="3118"/>
            <w:shd w:val="clear" w:color="auto" w:fill="DEEAF1"/>
          </w:tcPr>
          <w:p>
            <w:r>
              <w:rPr>
                <w:sz w:val="20"/>
              </w:rPr>
              <w:t>Pusat operasional utama, pusat data primer</w:t>
            </w:r>
          </w:p>
        </w:tc>
      </w:tr>
      <w:tr>
        <w:tc>
          <w:tcPr>
            <w:tcW w:type="dxa" w:w="3118"/>
          </w:tcPr>
          <w:p>
            <w:r>
              <w:rPr>
                <w:sz w:val="20"/>
              </w:rPr>
              <w:t>Data Center Primer</w:t>
            </w:r>
          </w:p>
        </w:tc>
        <w:tc>
          <w:tcPr>
            <w:tcW w:type="dxa" w:w="3118"/>
          </w:tcPr>
          <w:p>
            <w:r>
              <w:rPr>
                <w:sz w:val="20"/>
              </w:rPr>
              <w:t>Jakarta (co-location/owned)</w:t>
            </w:r>
          </w:p>
        </w:tc>
        <w:tc>
          <w:tcPr>
            <w:tcW w:type="dxa" w:w="3118"/>
          </w:tcPr>
          <w:p>
            <w:r>
              <w:rPr>
                <w:sz w:val="20"/>
              </w:rPr>
              <w:t>Server produksi, database nasabah, sistem core</w:t>
            </w:r>
          </w:p>
        </w:tc>
      </w:tr>
      <w:tr>
        <w:tc>
          <w:tcPr>
            <w:tcW w:type="dxa" w:w="3118"/>
            <w:shd w:val="clear" w:color="auto" w:fill="DEEAF1"/>
          </w:tcPr>
          <w:p>
            <w:r>
              <w:rPr>
                <w:sz w:val="20"/>
              </w:rPr>
              <w:t>Data Center Sekunder/DR</w:t>
            </w:r>
          </w:p>
        </w:tc>
        <w:tc>
          <w:tcPr>
            <w:tcW w:type="dxa" w:w="3118"/>
            <w:shd w:val="clear" w:color="auto" w:fill="DEEAF1"/>
          </w:tcPr>
          <w:p>
            <w:r>
              <w:rPr>
                <w:sz w:val="20"/>
              </w:rPr>
              <w:t>Kota lain (co-location)</w:t>
            </w:r>
          </w:p>
        </w:tc>
        <w:tc>
          <w:tcPr>
            <w:tcW w:type="dxa" w:w="3118"/>
            <w:shd w:val="clear" w:color="auto" w:fill="DEEAF1"/>
          </w:tcPr>
          <w:p>
            <w:r>
              <w:rPr>
                <w:sz w:val="20"/>
              </w:rPr>
              <w:t>Disaster recovery, backup sistem</w:t>
            </w:r>
          </w:p>
        </w:tc>
      </w:tr>
      <w:tr>
        <w:tc>
          <w:tcPr>
            <w:tcW w:type="dxa" w:w="3118"/>
          </w:tcPr>
          <w:p>
            <w:r>
              <w:rPr>
                <w:sz w:val="20"/>
              </w:rPr>
              <w:t>Kantor Cabang</w:t>
            </w:r>
          </w:p>
        </w:tc>
        <w:tc>
          <w:tcPr>
            <w:tcW w:type="dxa" w:w="3118"/>
          </w:tcPr>
          <w:p>
            <w:r>
              <w:rPr>
                <w:sz w:val="20"/>
              </w:rPr>
              <w:t>Seluruh Indonesia</w:t>
            </w:r>
          </w:p>
        </w:tc>
        <w:tc>
          <w:tcPr>
            <w:tcW w:type="dxa" w:w="3118"/>
          </w:tcPr>
          <w:p>
            <w:r>
              <w:rPr>
                <w:sz w:val="20"/>
              </w:rPr>
              <w:t>Operasional regional, akses ke sistem pusat via WAN/VPN</w:t>
            </w:r>
          </w:p>
        </w:tc>
      </w:tr>
      <w:tr>
        <w:tc>
          <w:tcPr>
            <w:tcW w:type="dxa" w:w="3118"/>
            <w:shd w:val="clear" w:color="auto" w:fill="DEEAF1"/>
          </w:tcPr>
          <w:p>
            <w:r>
              <w:rPr>
                <w:sz w:val="20"/>
              </w:rPr>
              <w:t>Lingkungan Cloud</w:t>
            </w:r>
          </w:p>
        </w:tc>
        <w:tc>
          <w:tcPr>
            <w:tcW w:type="dxa" w:w="3118"/>
            <w:shd w:val="clear" w:color="auto" w:fill="DEEAF1"/>
          </w:tcPr>
          <w:p>
            <w:r>
              <w:rPr>
                <w:sz w:val="20"/>
              </w:rPr>
              <w:t>Private/hybrid cloud</w:t>
            </w:r>
          </w:p>
        </w:tc>
        <w:tc>
          <w:tcPr>
            <w:tcW w:type="dxa" w:w="3118"/>
            <w:shd w:val="clear" w:color="auto" w:fill="DEEAF1"/>
          </w:tcPr>
          <w:p>
            <w:r>
              <w:rPr>
                <w:sz w:val="20"/>
              </w:rPr>
              <w:t>Aplikasi dan layanan yang dimigrasi ke cloud</w:t>
            </w:r>
          </w:p>
        </w:tc>
      </w:tr>
    </w:tbl>
    <w:p>
      <w:pPr>
        <w:spacing w:before="200" w:after="120"/>
      </w:pPr>
      <w:r>
        <w:rPr>
          <w:b/>
          <w:color w:val="2E74B5"/>
          <w:sz w:val="24"/>
        </w:rPr>
        <w:t>4.4 Aset Informasi Utama</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Aset</w:t>
            </w:r>
          </w:p>
        </w:tc>
        <w:tc>
          <w:tcPr>
            <w:tcW w:type="dxa" w:w="2339"/>
            <w:shd w:val="clear" w:color="auto" w:fill="1F497D"/>
          </w:tcPr>
          <w:p>
            <w:r>
              <w:rPr>
                <w:b/>
                <w:color w:val="FFFFFF"/>
                <w:sz w:val="18"/>
              </w:rPr>
              <w:t>Tipe</w:t>
            </w:r>
          </w:p>
        </w:tc>
        <w:tc>
          <w:tcPr>
            <w:tcW w:type="dxa" w:w="2339"/>
            <w:shd w:val="clear" w:color="auto" w:fill="1F497D"/>
          </w:tcPr>
          <w:p>
            <w:r>
              <w:rPr>
                <w:b/>
                <w:color w:val="FFFFFF"/>
                <w:sz w:val="18"/>
              </w:rPr>
              <w:t>Nilai Kekritisan</w:t>
            </w:r>
          </w:p>
        </w:tc>
        <w:tc>
          <w:tcPr>
            <w:tcW w:type="dxa" w:w="2339"/>
            <w:shd w:val="clear" w:color="auto" w:fill="1F497D"/>
          </w:tcPr>
          <w:p>
            <w:r>
              <w:rPr>
                <w:b/>
                <w:color w:val="FFFFFF"/>
                <w:sz w:val="18"/>
              </w:rPr>
              <w:t>Keterangan</w:t>
            </w:r>
          </w:p>
        </w:tc>
      </w:tr>
      <w:tr>
        <w:tc>
          <w:tcPr>
            <w:tcW w:type="dxa" w:w="2339"/>
            <w:shd w:val="clear" w:color="auto" w:fill="DEEAF1"/>
          </w:tcPr>
          <w:p>
            <w:r>
              <w:rPr>
                <w:sz w:val="18"/>
              </w:rPr>
              <w:t>Data Nasabah &amp; Polis</w:t>
            </w:r>
          </w:p>
        </w:tc>
        <w:tc>
          <w:tcPr>
            <w:tcW w:type="dxa" w:w="2339"/>
            <w:shd w:val="clear" w:color="auto" w:fill="DEEAF1"/>
          </w:tcPr>
          <w:p>
            <w:r>
              <w:rPr>
                <w:sz w:val="18"/>
              </w:rPr>
              <w:t>Data</w:t>
            </w:r>
          </w:p>
        </w:tc>
        <w:tc>
          <w:tcPr>
            <w:tcW w:type="dxa" w:w="2339"/>
            <w:shd w:val="clear" w:color="auto" w:fill="DEEAF1"/>
          </w:tcPr>
          <w:p>
            <w:r>
              <w:rPr>
                <w:b/>
                <w:color w:val="C00000"/>
                <w:sz w:val="18"/>
              </w:rPr>
              <w:t>SANGAT TINGGI</w:t>
            </w:r>
          </w:p>
        </w:tc>
        <w:tc>
          <w:tcPr>
            <w:tcW w:type="dxa" w:w="2339"/>
            <w:shd w:val="clear" w:color="auto" w:fill="DEEAF1"/>
          </w:tcPr>
          <w:p>
            <w:r>
              <w:rPr>
                <w:sz w:val="18"/>
              </w:rPr>
              <w:t>Data pribadi, data kesehatan, data polis, riwayat klaim</w:t>
            </w:r>
          </w:p>
        </w:tc>
      </w:tr>
      <w:tr>
        <w:tc>
          <w:tcPr>
            <w:tcW w:type="dxa" w:w="2339"/>
          </w:tcPr>
          <w:p>
            <w:r>
              <w:rPr>
                <w:sz w:val="18"/>
              </w:rPr>
              <w:t>Sistem Administrasi Polis (Policy Administration System)</w:t>
            </w:r>
          </w:p>
        </w:tc>
        <w:tc>
          <w:tcPr>
            <w:tcW w:type="dxa" w:w="2339"/>
          </w:tcPr>
          <w:p>
            <w:r>
              <w:rPr>
                <w:sz w:val="18"/>
              </w:rPr>
              <w:t>Sistem</w:t>
            </w:r>
          </w:p>
        </w:tc>
        <w:tc>
          <w:tcPr>
            <w:tcW w:type="dxa" w:w="2339"/>
          </w:tcPr>
          <w:p>
            <w:r>
              <w:rPr>
                <w:b/>
                <w:color w:val="C00000"/>
                <w:sz w:val="18"/>
              </w:rPr>
              <w:t>SANGAT TINGGI</w:t>
            </w:r>
          </w:p>
        </w:tc>
        <w:tc>
          <w:tcPr>
            <w:tcW w:type="dxa" w:w="2339"/>
          </w:tcPr>
          <w:p>
            <w:r>
              <w:rPr>
                <w:sz w:val="18"/>
              </w:rPr>
              <w:t>Core system pengelolaan polis asuransi</w:t>
            </w:r>
          </w:p>
        </w:tc>
      </w:tr>
      <w:tr>
        <w:tc>
          <w:tcPr>
            <w:tcW w:type="dxa" w:w="2339"/>
            <w:shd w:val="clear" w:color="auto" w:fill="DEEAF1"/>
          </w:tcPr>
          <w:p>
            <w:r>
              <w:rPr>
                <w:sz w:val="18"/>
              </w:rPr>
              <w:t>Sistem Manajemen Klaim</w:t>
            </w:r>
          </w:p>
        </w:tc>
        <w:tc>
          <w:tcPr>
            <w:tcW w:type="dxa" w:w="2339"/>
            <w:shd w:val="clear" w:color="auto" w:fill="DEEAF1"/>
          </w:tcPr>
          <w:p>
            <w:r>
              <w:rPr>
                <w:sz w:val="18"/>
              </w:rPr>
              <w:t>Sistem</w:t>
            </w:r>
          </w:p>
        </w:tc>
        <w:tc>
          <w:tcPr>
            <w:tcW w:type="dxa" w:w="2339"/>
            <w:shd w:val="clear" w:color="auto" w:fill="DEEAF1"/>
          </w:tcPr>
          <w:p>
            <w:r>
              <w:rPr>
                <w:b/>
                <w:color w:val="C00000"/>
                <w:sz w:val="18"/>
              </w:rPr>
              <w:t>SANGAT TINGGI</w:t>
            </w:r>
          </w:p>
        </w:tc>
        <w:tc>
          <w:tcPr>
            <w:tcW w:type="dxa" w:w="2339"/>
            <w:shd w:val="clear" w:color="auto" w:fill="DEEAF1"/>
          </w:tcPr>
          <w:p>
            <w:r>
              <w:rPr>
                <w:sz w:val="18"/>
              </w:rPr>
              <w:t>Pemrosesan dan pembayaran klaim</w:t>
            </w:r>
          </w:p>
        </w:tc>
      </w:tr>
      <w:tr>
        <w:tc>
          <w:tcPr>
            <w:tcW w:type="dxa" w:w="2339"/>
          </w:tcPr>
          <w:p>
            <w:r>
              <w:rPr>
                <w:sz w:val="18"/>
              </w:rPr>
              <w:t>Database Nasabah (CRM)</w:t>
            </w:r>
          </w:p>
        </w:tc>
        <w:tc>
          <w:tcPr>
            <w:tcW w:type="dxa" w:w="2339"/>
          </w:tcPr>
          <w:p>
            <w:r>
              <w:rPr>
                <w:sz w:val="18"/>
              </w:rPr>
              <w:t>Data/Sistem</w:t>
            </w:r>
          </w:p>
        </w:tc>
        <w:tc>
          <w:tcPr>
            <w:tcW w:type="dxa" w:w="2339"/>
          </w:tcPr>
          <w:p>
            <w:r>
              <w:rPr>
                <w:b/>
                <w:color w:val="C00000"/>
                <w:sz w:val="18"/>
              </w:rPr>
              <w:t>SANGAT TINGGI</w:t>
            </w:r>
          </w:p>
        </w:tc>
        <w:tc>
          <w:tcPr>
            <w:tcW w:type="dxa" w:w="2339"/>
          </w:tcPr>
          <w:p>
            <w:r>
              <w:rPr>
                <w:sz w:val="18"/>
              </w:rPr>
              <w:t>Master data nasabah dan prospek</w:t>
            </w:r>
          </w:p>
        </w:tc>
      </w:tr>
      <w:tr>
        <w:tc>
          <w:tcPr>
            <w:tcW w:type="dxa" w:w="2339"/>
            <w:shd w:val="clear" w:color="auto" w:fill="DEEAF1"/>
          </w:tcPr>
          <w:p>
            <w:r>
              <w:rPr>
                <w:sz w:val="18"/>
              </w:rPr>
              <w:t>Sistem Aktuaria</w:t>
            </w:r>
          </w:p>
        </w:tc>
        <w:tc>
          <w:tcPr>
            <w:tcW w:type="dxa" w:w="2339"/>
            <w:shd w:val="clear" w:color="auto" w:fill="DEEAF1"/>
          </w:tcPr>
          <w:p>
            <w:r>
              <w:rPr>
                <w:sz w:val="18"/>
              </w:rPr>
              <w:t>Sistem</w:t>
            </w:r>
          </w:p>
        </w:tc>
        <w:tc>
          <w:tcPr>
            <w:tcW w:type="dxa" w:w="2339"/>
            <w:shd w:val="clear" w:color="auto" w:fill="DEEAF1"/>
          </w:tcPr>
          <w:p>
            <w:r>
              <w:rPr>
                <w:b/>
                <w:color w:val="FF8C00"/>
                <w:sz w:val="18"/>
              </w:rPr>
              <w:t>TINGGI</w:t>
            </w:r>
          </w:p>
        </w:tc>
        <w:tc>
          <w:tcPr>
            <w:tcW w:type="dxa" w:w="2339"/>
            <w:shd w:val="clear" w:color="auto" w:fill="DEEAF1"/>
          </w:tcPr>
          <w:p>
            <w:r>
              <w:rPr>
                <w:sz w:val="18"/>
              </w:rPr>
              <w:t>Kalkulasi premi dan cadangan teknis</w:t>
            </w:r>
          </w:p>
        </w:tc>
      </w:tr>
      <w:tr>
        <w:tc>
          <w:tcPr>
            <w:tcW w:type="dxa" w:w="2339"/>
          </w:tcPr>
          <w:p>
            <w:r>
              <w:rPr>
                <w:sz w:val="18"/>
              </w:rPr>
              <w:t>Sistem Keuangan &amp; ERP</w:t>
            </w:r>
          </w:p>
        </w:tc>
        <w:tc>
          <w:tcPr>
            <w:tcW w:type="dxa" w:w="2339"/>
          </w:tcPr>
          <w:p>
            <w:r>
              <w:rPr>
                <w:sz w:val="18"/>
              </w:rPr>
              <w:t>Sistem</w:t>
            </w:r>
          </w:p>
        </w:tc>
        <w:tc>
          <w:tcPr>
            <w:tcW w:type="dxa" w:w="2339"/>
          </w:tcPr>
          <w:p>
            <w:r>
              <w:rPr>
                <w:b/>
                <w:color w:val="FF8C00"/>
                <w:sz w:val="18"/>
              </w:rPr>
              <w:t>TINGGI</w:t>
            </w:r>
          </w:p>
        </w:tc>
        <w:tc>
          <w:tcPr>
            <w:tcW w:type="dxa" w:w="2339"/>
          </w:tcPr>
          <w:p>
            <w:r>
              <w:rPr>
                <w:sz w:val="18"/>
              </w:rPr>
              <w:t>Pengelolaan keuangan dan akuntansi</w:t>
            </w:r>
          </w:p>
        </w:tc>
      </w:tr>
      <w:tr>
        <w:tc>
          <w:tcPr>
            <w:tcW w:type="dxa" w:w="2339"/>
            <w:shd w:val="clear" w:color="auto" w:fill="DEEAF1"/>
          </w:tcPr>
          <w:p>
            <w:r>
              <w:rPr>
                <w:sz w:val="18"/>
              </w:rPr>
              <w:t>Infrastruktur Jaringan</w:t>
            </w:r>
          </w:p>
        </w:tc>
        <w:tc>
          <w:tcPr>
            <w:tcW w:type="dxa" w:w="2339"/>
            <w:shd w:val="clear" w:color="auto" w:fill="DEEAF1"/>
          </w:tcPr>
          <w:p>
            <w:r>
              <w:rPr>
                <w:sz w:val="18"/>
              </w:rPr>
              <w:t>Infrastruktur</w:t>
            </w:r>
          </w:p>
        </w:tc>
        <w:tc>
          <w:tcPr>
            <w:tcW w:type="dxa" w:w="2339"/>
            <w:shd w:val="clear" w:color="auto" w:fill="DEEAF1"/>
          </w:tcPr>
          <w:p>
            <w:r>
              <w:rPr>
                <w:b/>
                <w:color w:val="FF8C00"/>
                <w:sz w:val="18"/>
              </w:rPr>
              <w:t>TINGGI</w:t>
            </w:r>
          </w:p>
        </w:tc>
        <w:tc>
          <w:tcPr>
            <w:tcW w:type="dxa" w:w="2339"/>
            <w:shd w:val="clear" w:color="auto" w:fill="DEEAF1"/>
          </w:tcPr>
          <w:p>
            <w:r>
              <w:rPr>
                <w:sz w:val="18"/>
              </w:rPr>
              <w:t>Router, switch, firewall, VPN, WAN</w:t>
            </w:r>
          </w:p>
        </w:tc>
      </w:tr>
      <w:tr>
        <w:tc>
          <w:tcPr>
            <w:tcW w:type="dxa" w:w="2339"/>
          </w:tcPr>
          <w:p>
            <w:r>
              <w:rPr>
                <w:sz w:val="18"/>
              </w:rPr>
              <w:t>Server &amp; Storage</w:t>
            </w:r>
          </w:p>
        </w:tc>
        <w:tc>
          <w:tcPr>
            <w:tcW w:type="dxa" w:w="2339"/>
          </w:tcPr>
          <w:p>
            <w:r>
              <w:rPr>
                <w:sz w:val="18"/>
              </w:rPr>
              <w:t>Infrastruktur</w:t>
            </w:r>
          </w:p>
        </w:tc>
        <w:tc>
          <w:tcPr>
            <w:tcW w:type="dxa" w:w="2339"/>
          </w:tcPr>
          <w:p>
            <w:r>
              <w:rPr>
                <w:b/>
                <w:color w:val="FF8C00"/>
                <w:sz w:val="18"/>
              </w:rPr>
              <w:t>TINGGI</w:t>
            </w:r>
          </w:p>
        </w:tc>
        <w:tc>
          <w:tcPr>
            <w:tcW w:type="dxa" w:w="2339"/>
          </w:tcPr>
          <w:p>
            <w:r>
              <w:rPr>
                <w:sz w:val="18"/>
              </w:rPr>
              <w:t>Server fisik dan virtual, storage area network</w:t>
            </w:r>
          </w:p>
        </w:tc>
      </w:tr>
      <w:tr>
        <w:tc>
          <w:tcPr>
            <w:tcW w:type="dxa" w:w="2339"/>
            <w:shd w:val="clear" w:color="auto" w:fill="DEEAF1"/>
          </w:tcPr>
          <w:p>
            <w:r>
              <w:rPr>
                <w:sz w:val="18"/>
              </w:rPr>
              <w:t>Aplikasi Mobile &amp; Web</w:t>
            </w:r>
          </w:p>
        </w:tc>
        <w:tc>
          <w:tcPr>
            <w:tcW w:type="dxa" w:w="2339"/>
            <w:shd w:val="clear" w:color="auto" w:fill="DEEAF1"/>
          </w:tcPr>
          <w:p>
            <w:r>
              <w:rPr>
                <w:sz w:val="18"/>
              </w:rPr>
              <w:t>Sistem</w:t>
            </w:r>
          </w:p>
        </w:tc>
        <w:tc>
          <w:tcPr>
            <w:tcW w:type="dxa" w:w="2339"/>
            <w:shd w:val="clear" w:color="auto" w:fill="DEEAF1"/>
          </w:tcPr>
          <w:p>
            <w:r>
              <w:rPr>
                <w:b/>
                <w:sz w:val="18"/>
              </w:rPr>
              <w:t>SEDANG</w:t>
            </w:r>
          </w:p>
        </w:tc>
        <w:tc>
          <w:tcPr>
            <w:tcW w:type="dxa" w:w="2339"/>
            <w:shd w:val="clear" w:color="auto" w:fill="DEEAF1"/>
          </w:tcPr>
          <w:p>
            <w:r>
              <w:rPr>
                <w:sz w:val="18"/>
              </w:rPr>
              <w:t>Portal nasabah, aplikasi agen</w:t>
            </w:r>
          </w:p>
        </w:tc>
      </w:tr>
      <w:tr>
        <w:tc>
          <w:tcPr>
            <w:tcW w:type="dxa" w:w="2339"/>
          </w:tcPr>
          <w:p>
            <w:r>
              <w:rPr>
                <w:sz w:val="18"/>
              </w:rPr>
              <w:t>Dokumen Kebijakan &amp; Prosedur</w:t>
            </w:r>
          </w:p>
        </w:tc>
        <w:tc>
          <w:tcPr>
            <w:tcW w:type="dxa" w:w="2339"/>
          </w:tcPr>
          <w:p>
            <w:r>
              <w:rPr>
                <w:sz w:val="18"/>
              </w:rPr>
              <w:t>Dokumen</w:t>
            </w:r>
          </w:p>
        </w:tc>
        <w:tc>
          <w:tcPr>
            <w:tcW w:type="dxa" w:w="2339"/>
          </w:tcPr>
          <w:p>
            <w:r>
              <w:rPr>
                <w:b/>
                <w:sz w:val="18"/>
              </w:rPr>
              <w:t>SEDANG</w:t>
            </w:r>
          </w:p>
        </w:tc>
        <w:tc>
          <w:tcPr>
            <w:tcW w:type="dxa" w:w="2339"/>
          </w:tcPr>
          <w:p>
            <w:r>
              <w:rPr>
                <w:sz w:val="18"/>
              </w:rPr>
              <w:t>Dokumen ISMS, SOP, panduan</w:t>
            </w:r>
          </w:p>
        </w:tc>
      </w:tr>
      <w:tr>
        <w:tc>
          <w:tcPr>
            <w:tcW w:type="dxa" w:w="2339"/>
            <w:shd w:val="clear" w:color="auto" w:fill="DEEAF1"/>
          </w:tcPr>
          <w:p>
            <w:r>
              <w:rPr>
                <w:sz w:val="18"/>
              </w:rPr>
              <w:t>Data Karyawan (HRIS)</w:t>
            </w:r>
          </w:p>
        </w:tc>
        <w:tc>
          <w:tcPr>
            <w:tcW w:type="dxa" w:w="2339"/>
            <w:shd w:val="clear" w:color="auto" w:fill="DEEAF1"/>
          </w:tcPr>
          <w:p>
            <w:r>
              <w:rPr>
                <w:sz w:val="18"/>
              </w:rPr>
              <w:t>Data</w:t>
            </w:r>
          </w:p>
        </w:tc>
        <w:tc>
          <w:tcPr>
            <w:tcW w:type="dxa" w:w="2339"/>
            <w:shd w:val="clear" w:color="auto" w:fill="DEEAF1"/>
          </w:tcPr>
          <w:p>
            <w:r>
              <w:rPr>
                <w:b/>
                <w:color w:val="FF8C00"/>
                <w:sz w:val="18"/>
              </w:rPr>
              <w:t>TINGGI</w:t>
            </w:r>
          </w:p>
        </w:tc>
        <w:tc>
          <w:tcPr>
            <w:tcW w:type="dxa" w:w="2339"/>
            <w:shd w:val="clear" w:color="auto" w:fill="DEEAF1"/>
          </w:tcPr>
          <w:p>
            <w:r>
              <w:rPr>
                <w:sz w:val="18"/>
              </w:rPr>
              <w:t>Data penggajian, personal, benefit karyawan</w:t>
            </w:r>
          </w:p>
        </w:tc>
      </w:tr>
      <w:tr>
        <w:tc>
          <w:tcPr>
            <w:tcW w:type="dxa" w:w="2339"/>
          </w:tcPr>
          <w:p>
            <w:r>
              <w:rPr>
                <w:sz w:val="18"/>
              </w:rPr>
              <w:t>Kunci Enkripsi &amp; Sertifikat Digital</w:t>
            </w:r>
          </w:p>
        </w:tc>
        <w:tc>
          <w:tcPr>
            <w:tcW w:type="dxa" w:w="2339"/>
          </w:tcPr>
          <w:p>
            <w:r>
              <w:rPr>
                <w:sz w:val="18"/>
              </w:rPr>
              <w:t>Kunci/Sertifikat</w:t>
            </w:r>
          </w:p>
        </w:tc>
        <w:tc>
          <w:tcPr>
            <w:tcW w:type="dxa" w:w="2339"/>
          </w:tcPr>
          <w:p>
            <w:r>
              <w:rPr>
                <w:b/>
                <w:color w:val="C00000"/>
                <w:sz w:val="18"/>
              </w:rPr>
              <w:t>SANGAT TINGGI</w:t>
            </w:r>
          </w:p>
        </w:tc>
        <w:tc>
          <w:tcPr>
            <w:tcW w:type="dxa" w:w="2339"/>
          </w:tcPr>
          <w:p>
            <w:r>
              <w:rPr>
                <w:sz w:val="18"/>
              </w:rPr>
              <w:t>HSM, PKI, kunci enkripsi database</w:t>
            </w:r>
          </w:p>
        </w:tc>
      </w:tr>
    </w:tbl>
    <w:p>
      <w:r>
        <w:br w:type="page"/>
      </w:r>
    </w:p>
    <w:p>
      <w:pPr>
        <w:spacing w:before="280" w:after="120"/>
        <w:pBdr>
          <w:bottom w:val="single" w:sz="6" w:color="1F497D"/>
        </w:pBdr>
      </w:pPr>
      <w:r>
        <w:rPr>
          <w:b/>
          <w:color w:val="1F497D"/>
          <w:sz w:val="28"/>
        </w:rPr>
        <w:t>5. BATASAN DAN PENGECUALIAN ISMS</w:t>
      </w:r>
    </w:p>
    <w:p>
      <w:pPr>
        <w:spacing w:before="200" w:after="120"/>
      </w:pPr>
      <w:r>
        <w:rPr>
          <w:b/>
          <w:color w:val="2E74B5"/>
          <w:sz w:val="24"/>
        </w:rPr>
        <w:t>5.1 Batasan ISMS</w:t>
      </w:r>
    </w:p>
    <w:p>
      <w:pPr>
        <w:spacing w:before="40" w:after="80"/>
      </w:pPr>
      <w:r>
        <w:rPr>
          <w:sz w:val="22"/>
        </w:rPr>
        <w:t>ISMS PT Equity Life Indonesia memiliki batasan-batasan sebagai berikut:</w:t>
      </w:r>
    </w:p>
    <w:p>
      <w:pPr>
        <w:pStyle w:val="ListBullet"/>
        <w:spacing w:before="40" w:after="40"/>
        <w:ind w:left="567"/>
      </w:pPr>
      <w:r>
        <w:rPr>
          <w:sz w:val="22"/>
        </w:rPr>
        <w:t>ISMS mencakup seluruh sistem dan infrastruktur yang dikelola langsung oleh Perusahaan, baik di premis (on-premise) maupun di lingkungan cloud yang digunakan Perusahaan.</w:t>
      </w:r>
    </w:p>
    <w:p>
      <w:pPr>
        <w:pStyle w:val="ListBullet"/>
        <w:spacing w:before="40" w:after="40"/>
        <w:ind w:left="567"/>
      </w:pPr>
      <w:r>
        <w:rPr>
          <w:sz w:val="22"/>
        </w:rPr>
        <w:t>Untuk sistem yang dioperasikan oleh pihak ketiga, persyaratan keamanan informasi diterapkan melalui perjanjian kontraktual dan penilaian vendor.</w:t>
      </w:r>
    </w:p>
    <w:p>
      <w:pPr>
        <w:pStyle w:val="ListBullet"/>
        <w:spacing w:before="40" w:after="40"/>
        <w:ind w:left="567"/>
      </w:pPr>
      <w:r>
        <w:rPr>
          <w:sz w:val="22"/>
        </w:rPr>
        <w:t>Anak perusahaan atau afiliasi yang beroperasi sebagai entitas hukum terpisah tidak termasuk dalam ruang lingkup ini, kecuali secara eksplisit dinyatakan dalam perjanjian antar entitas.</w:t>
      </w:r>
    </w:p>
    <w:p>
      <w:pPr>
        <w:spacing w:before="200" w:after="120"/>
      </w:pPr>
      <w:r>
        <w:rPr>
          <w:b/>
          <w:color w:val="2E74B5"/>
          <w:sz w:val="24"/>
        </w:rPr>
        <w:t>5.2 Pengecualian</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20"/>
              </w:rPr>
              <w:t>Item yang Dikecualikan</w:t>
            </w:r>
          </w:p>
        </w:tc>
        <w:tc>
          <w:tcPr>
            <w:tcW w:type="dxa" w:w="3118"/>
            <w:shd w:val="clear" w:color="auto" w:fill="1F497D"/>
          </w:tcPr>
          <w:p>
            <w:r>
              <w:rPr>
                <w:b/>
                <w:color w:val="FFFFFF"/>
                <w:sz w:val="20"/>
              </w:rPr>
              <w:t>Justifikasi</w:t>
            </w:r>
          </w:p>
        </w:tc>
        <w:tc>
          <w:tcPr>
            <w:tcW w:type="dxa" w:w="3118"/>
            <w:shd w:val="clear" w:color="auto" w:fill="1F497D"/>
          </w:tcPr>
          <w:p>
            <w:r>
              <w:rPr>
                <w:b/>
                <w:color w:val="FFFFFF"/>
                <w:sz w:val="20"/>
              </w:rPr>
              <w:t>Persetujuan</w:t>
            </w:r>
          </w:p>
        </w:tc>
      </w:tr>
      <w:tr>
        <w:tc>
          <w:tcPr>
            <w:tcW w:type="dxa" w:w="3118"/>
            <w:shd w:val="clear" w:color="auto" w:fill="DEEAF1"/>
          </w:tcPr>
          <w:p>
            <w:r>
              <w:rPr>
                <w:sz w:val="20"/>
              </w:rPr>
              <w:t>Sistem HR pihak ketiga yang tidak memproses data nasabah</w:t>
            </w:r>
          </w:p>
        </w:tc>
        <w:tc>
          <w:tcPr>
            <w:tcW w:type="dxa" w:w="3118"/>
            <w:shd w:val="clear" w:color="auto" w:fill="DEEAF1"/>
          </w:tcPr>
          <w:p>
            <w:r>
              <w:rPr>
                <w:sz w:val="20"/>
              </w:rPr>
              <w:t>Tidak memproses data sensitif nasabah; dikelola penuh oleh vendor dengan SLA keamanan</w:t>
            </w:r>
          </w:p>
        </w:tc>
        <w:tc>
          <w:tcPr>
            <w:tcW w:type="dxa" w:w="3118"/>
            <w:shd w:val="clear" w:color="auto" w:fill="DEEAF1"/>
          </w:tcPr>
          <w:p>
            <w:r>
              <w:rPr>
                <w:sz w:val="20"/>
              </w:rPr>
              <w:t>CISO, Maret 2026</w:t>
            </w:r>
          </w:p>
        </w:tc>
      </w:tr>
      <w:tr>
        <w:tc>
          <w:tcPr>
            <w:tcW w:type="dxa" w:w="3118"/>
          </w:tcPr>
          <w:p>
            <w:r>
              <w:rPr>
                <w:sz w:val="20"/>
              </w:rPr>
              <w:t>Jaringan Wi-Fi khusus tamu (Guest WiFi) yang terisolasi</w:t>
            </w:r>
          </w:p>
        </w:tc>
        <w:tc>
          <w:tcPr>
            <w:tcW w:type="dxa" w:w="3118"/>
          </w:tcPr>
          <w:p>
            <w:r>
              <w:rPr>
                <w:sz w:val="20"/>
              </w:rPr>
              <w:t>Terisolasi dari jaringan internal; tidak memiliki akses ke sistem bisnis</w:t>
            </w:r>
          </w:p>
        </w:tc>
        <w:tc>
          <w:tcPr>
            <w:tcW w:type="dxa" w:w="3118"/>
          </w:tcPr>
          <w:p>
            <w:r>
              <w:rPr>
                <w:sz w:val="20"/>
              </w:rPr>
              <w:t>CISO, Maret 2026</w:t>
            </w:r>
          </w:p>
        </w:tc>
      </w:tr>
    </w:tbl>
    <w:p/>
    <w:p>
      <w:pPr>
        <w:spacing w:before="280" w:after="120"/>
        <w:pBdr>
          <w:bottom w:val="single" w:sz="6" w:color="1F497D"/>
        </w:pBdr>
      </w:pPr>
      <w:r>
        <w:rPr>
          <w:b/>
          <w:color w:val="1F497D"/>
          <w:sz w:val="28"/>
        </w:rPr>
        <w:t>6. TUJUAN KEAMANAN INFORMASI (Klausul 6.2)</w:t>
      </w:r>
    </w:p>
    <w:p>
      <w:pPr>
        <w:spacing w:before="40" w:after="80"/>
      </w:pPr>
      <w:r>
        <w:rPr>
          <w:sz w:val="22"/>
        </w:rPr>
        <w:t>Tujuan keamanan informasi PT Equity Life Indonesia untuk periode 2026 ditetapkan sebagai berikut:</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Tujuan</w:t>
            </w:r>
          </w:p>
        </w:tc>
        <w:tc>
          <w:tcPr>
            <w:tcW w:type="dxa" w:w="1871"/>
            <w:shd w:val="clear" w:color="auto" w:fill="1F497D"/>
          </w:tcPr>
          <w:p>
            <w:r>
              <w:rPr>
                <w:b/>
                <w:color w:val="FFFFFF"/>
                <w:sz w:val="18"/>
              </w:rPr>
              <w:t>Indikator Keberhasilan (KPI)</w:t>
            </w:r>
          </w:p>
        </w:tc>
        <w:tc>
          <w:tcPr>
            <w:tcW w:type="dxa" w:w="1871"/>
            <w:shd w:val="clear" w:color="auto" w:fill="1F497D"/>
          </w:tcPr>
          <w:p>
            <w:r>
              <w:rPr>
                <w:b/>
                <w:color w:val="FFFFFF"/>
                <w:sz w:val="18"/>
              </w:rPr>
              <w:t>Target</w:t>
            </w:r>
          </w:p>
        </w:tc>
        <w:tc>
          <w:tcPr>
            <w:tcW w:type="dxa" w:w="1871"/>
            <w:shd w:val="clear" w:color="auto" w:fill="1F497D"/>
          </w:tcPr>
          <w:p>
            <w:r>
              <w:rPr>
                <w:b/>
                <w:color w:val="FFFFFF"/>
                <w:sz w:val="18"/>
              </w:rPr>
              <w:t>Penanggungjawab</w:t>
            </w:r>
          </w:p>
        </w:tc>
        <w:tc>
          <w:tcPr>
            <w:tcW w:type="dxa" w:w="1871"/>
            <w:shd w:val="clear" w:color="auto" w:fill="1F497D"/>
          </w:tcPr>
          <w:p>
            <w:r>
              <w:rPr>
                <w:b/>
                <w:color w:val="FFFFFF"/>
                <w:sz w:val="18"/>
              </w:rPr>
              <w:t>Periode Review</w:t>
            </w:r>
          </w:p>
        </w:tc>
      </w:tr>
      <w:tr>
        <w:tc>
          <w:tcPr>
            <w:tcW w:type="dxa" w:w="1871"/>
            <w:shd w:val="clear" w:color="auto" w:fill="DEEAF1"/>
          </w:tcPr>
          <w:p>
            <w:r>
              <w:rPr>
                <w:sz w:val="18"/>
              </w:rPr>
              <w:t>Nol insiden kebocoran data nasabah yang disengaja</w:t>
            </w:r>
          </w:p>
        </w:tc>
        <w:tc>
          <w:tcPr>
            <w:tcW w:type="dxa" w:w="1871"/>
            <w:shd w:val="clear" w:color="auto" w:fill="DEEAF1"/>
          </w:tcPr>
          <w:p>
            <w:r>
              <w:rPr>
                <w:sz w:val="18"/>
              </w:rPr>
              <w:t>Jumlah insiden kebocoran data terkonfirmasi</w:t>
            </w:r>
          </w:p>
        </w:tc>
        <w:tc>
          <w:tcPr>
            <w:tcW w:type="dxa" w:w="1871"/>
            <w:shd w:val="clear" w:color="auto" w:fill="DEEAF1"/>
          </w:tcPr>
          <w:p>
            <w:r>
              <w:rPr>
                <w:sz w:val="18"/>
              </w:rPr>
              <w:t>0 insiden/tahun</w:t>
            </w:r>
          </w:p>
        </w:tc>
        <w:tc>
          <w:tcPr>
            <w:tcW w:type="dxa" w:w="1871"/>
            <w:shd w:val="clear" w:color="auto" w:fill="DEEAF1"/>
          </w:tcPr>
          <w:p>
            <w:r>
              <w:rPr>
                <w:sz w:val="18"/>
              </w:rPr>
              <w:t>CISO</w:t>
            </w:r>
          </w:p>
        </w:tc>
        <w:tc>
          <w:tcPr>
            <w:tcW w:type="dxa" w:w="1871"/>
            <w:shd w:val="clear" w:color="auto" w:fill="DEEAF1"/>
          </w:tcPr>
          <w:p>
            <w:r>
              <w:rPr>
                <w:sz w:val="18"/>
              </w:rPr>
              <w:t>Bulanan</w:t>
            </w:r>
          </w:p>
        </w:tc>
      </w:tr>
      <w:tr>
        <w:tc>
          <w:tcPr>
            <w:tcW w:type="dxa" w:w="1871"/>
          </w:tcPr>
          <w:p>
            <w:r>
              <w:rPr>
                <w:sz w:val="18"/>
              </w:rPr>
              <w:t>Meningkatkan kesadaran keamanan karyawan</w:t>
            </w:r>
          </w:p>
        </w:tc>
        <w:tc>
          <w:tcPr>
            <w:tcW w:type="dxa" w:w="1871"/>
          </w:tcPr>
          <w:p>
            <w:r>
              <w:rPr>
                <w:sz w:val="18"/>
              </w:rPr>
              <w:t>Persentase karyawan lulus pelatihan keamanan tahunan</w:t>
            </w:r>
          </w:p>
        </w:tc>
        <w:tc>
          <w:tcPr>
            <w:tcW w:type="dxa" w:w="1871"/>
          </w:tcPr>
          <w:p>
            <w:r>
              <w:rPr>
                <w:sz w:val="18"/>
              </w:rPr>
              <w:t>&gt;= 95%</w:t>
            </w:r>
          </w:p>
        </w:tc>
        <w:tc>
          <w:tcPr>
            <w:tcW w:type="dxa" w:w="1871"/>
          </w:tcPr>
          <w:p>
            <w:r>
              <w:rPr>
                <w:sz w:val="18"/>
              </w:rPr>
              <w:t>CISO / HRD</w:t>
            </w:r>
          </w:p>
        </w:tc>
        <w:tc>
          <w:tcPr>
            <w:tcW w:type="dxa" w:w="1871"/>
          </w:tcPr>
          <w:p>
            <w:r>
              <w:rPr>
                <w:sz w:val="18"/>
              </w:rPr>
              <w:t>Tahunan</w:t>
            </w:r>
          </w:p>
        </w:tc>
      </w:tr>
      <w:tr>
        <w:tc>
          <w:tcPr>
            <w:tcW w:type="dxa" w:w="1871"/>
            <w:shd w:val="clear" w:color="auto" w:fill="DEEAF1"/>
          </w:tcPr>
          <w:p>
            <w:r>
              <w:rPr>
                <w:sz w:val="18"/>
              </w:rPr>
              <w:t>Mempertahankan ketersediaan sistem kritis</w:t>
            </w:r>
          </w:p>
        </w:tc>
        <w:tc>
          <w:tcPr>
            <w:tcW w:type="dxa" w:w="1871"/>
            <w:shd w:val="clear" w:color="auto" w:fill="DEEAF1"/>
          </w:tcPr>
          <w:p>
            <w:r>
              <w:rPr>
                <w:sz w:val="18"/>
              </w:rPr>
              <w:t>Uptime sistem administrasi polis dan klaim</w:t>
            </w:r>
          </w:p>
        </w:tc>
        <w:tc>
          <w:tcPr>
            <w:tcW w:type="dxa" w:w="1871"/>
            <w:shd w:val="clear" w:color="auto" w:fill="DEEAF1"/>
          </w:tcPr>
          <w:p>
            <w:r>
              <w:rPr>
                <w:sz w:val="18"/>
              </w:rPr>
              <w:t>&gt;= 99.5%</w:t>
            </w:r>
          </w:p>
        </w:tc>
        <w:tc>
          <w:tcPr>
            <w:tcW w:type="dxa" w:w="1871"/>
            <w:shd w:val="clear" w:color="auto" w:fill="DEEAF1"/>
          </w:tcPr>
          <w:p>
            <w:r>
              <w:rPr>
                <w:sz w:val="18"/>
              </w:rPr>
              <w:t>Kepala IT</w:t>
            </w:r>
          </w:p>
        </w:tc>
        <w:tc>
          <w:tcPr>
            <w:tcW w:type="dxa" w:w="1871"/>
            <w:shd w:val="clear" w:color="auto" w:fill="DEEAF1"/>
          </w:tcPr>
          <w:p>
            <w:r>
              <w:rPr>
                <w:sz w:val="18"/>
              </w:rPr>
              <w:t>Bulanan</w:t>
            </w:r>
          </w:p>
        </w:tc>
      </w:tr>
      <w:tr>
        <w:tc>
          <w:tcPr>
            <w:tcW w:type="dxa" w:w="1871"/>
          </w:tcPr>
          <w:p>
            <w:r>
              <w:rPr>
                <w:sz w:val="18"/>
              </w:rPr>
              <w:t>Mengurangi waktu respons insiden</w:t>
            </w:r>
          </w:p>
        </w:tc>
        <w:tc>
          <w:tcPr>
            <w:tcW w:type="dxa" w:w="1871"/>
          </w:tcPr>
          <w:p>
            <w:r>
              <w:rPr>
                <w:sz w:val="18"/>
              </w:rPr>
              <w:t>Mean Time to Respond (MTTR) untuk insiden P1</w:t>
            </w:r>
          </w:p>
        </w:tc>
        <w:tc>
          <w:tcPr>
            <w:tcW w:type="dxa" w:w="1871"/>
          </w:tcPr>
          <w:p>
            <w:r>
              <w:rPr>
                <w:sz w:val="18"/>
              </w:rPr>
              <w:t>&lt;= 4 jam</w:t>
            </w:r>
          </w:p>
        </w:tc>
        <w:tc>
          <w:tcPr>
            <w:tcW w:type="dxa" w:w="1871"/>
          </w:tcPr>
          <w:p>
            <w:r>
              <w:rPr>
                <w:sz w:val="18"/>
              </w:rPr>
              <w:t>SOC Manager</w:t>
            </w:r>
          </w:p>
        </w:tc>
        <w:tc>
          <w:tcPr>
            <w:tcW w:type="dxa" w:w="1871"/>
          </w:tcPr>
          <w:p>
            <w:r>
              <w:rPr>
                <w:sz w:val="18"/>
              </w:rPr>
              <w:t>Bulanan</w:t>
            </w:r>
          </w:p>
        </w:tc>
      </w:tr>
      <w:tr>
        <w:tc>
          <w:tcPr>
            <w:tcW w:type="dxa" w:w="1871"/>
            <w:shd w:val="clear" w:color="auto" w:fill="DEEAF1"/>
          </w:tcPr>
          <w:p>
            <w:r>
              <w:rPr>
                <w:sz w:val="18"/>
              </w:rPr>
              <w:t>Memastikan pemulihan dari bencana</w:t>
            </w:r>
          </w:p>
        </w:tc>
        <w:tc>
          <w:tcPr>
            <w:tcW w:type="dxa" w:w="1871"/>
            <w:shd w:val="clear" w:color="auto" w:fill="DEEAF1"/>
          </w:tcPr>
          <w:p>
            <w:r>
              <w:rPr>
                <w:sz w:val="18"/>
              </w:rPr>
              <w:t>Keberhasilan uji DRP tahunan</w:t>
            </w:r>
          </w:p>
        </w:tc>
        <w:tc>
          <w:tcPr>
            <w:tcW w:type="dxa" w:w="1871"/>
            <w:shd w:val="clear" w:color="auto" w:fill="DEEAF1"/>
          </w:tcPr>
          <w:p>
            <w:r>
              <w:rPr>
                <w:sz w:val="18"/>
              </w:rPr>
              <w:t>100% DR test sukses</w:t>
            </w:r>
          </w:p>
        </w:tc>
        <w:tc>
          <w:tcPr>
            <w:tcW w:type="dxa" w:w="1871"/>
            <w:shd w:val="clear" w:color="auto" w:fill="DEEAF1"/>
          </w:tcPr>
          <w:p>
            <w:r>
              <w:rPr>
                <w:sz w:val="18"/>
              </w:rPr>
              <w:t>Kepala IT / CISO</w:t>
            </w:r>
          </w:p>
        </w:tc>
        <w:tc>
          <w:tcPr>
            <w:tcW w:type="dxa" w:w="1871"/>
            <w:shd w:val="clear" w:color="auto" w:fill="DEEAF1"/>
          </w:tcPr>
          <w:p>
            <w:r>
              <w:rPr>
                <w:sz w:val="18"/>
              </w:rPr>
              <w:t>Tahunan</w:t>
            </w:r>
          </w:p>
        </w:tc>
      </w:tr>
      <w:tr>
        <w:tc>
          <w:tcPr>
            <w:tcW w:type="dxa" w:w="1871"/>
          </w:tcPr>
          <w:p>
            <w:r>
              <w:rPr>
                <w:sz w:val="18"/>
              </w:rPr>
              <w:t>Kepatuhan penuh terhadap regulasi OJK</w:t>
            </w:r>
          </w:p>
        </w:tc>
        <w:tc>
          <w:tcPr>
            <w:tcW w:type="dxa" w:w="1871"/>
          </w:tcPr>
          <w:p>
            <w:r>
              <w:rPr>
                <w:sz w:val="18"/>
              </w:rPr>
              <w:t>Jumlah temuan regulasi terkait keamanan TI</w:t>
            </w:r>
          </w:p>
        </w:tc>
        <w:tc>
          <w:tcPr>
            <w:tcW w:type="dxa" w:w="1871"/>
          </w:tcPr>
          <w:p>
            <w:r>
              <w:rPr>
                <w:sz w:val="18"/>
              </w:rPr>
              <w:t>0 temuan kritis</w:t>
            </w:r>
          </w:p>
        </w:tc>
        <w:tc>
          <w:tcPr>
            <w:tcW w:type="dxa" w:w="1871"/>
          </w:tcPr>
          <w:p>
            <w:r>
              <w:rPr>
                <w:sz w:val="18"/>
              </w:rPr>
              <w:t>Kepatuhan &amp; CISO</w:t>
            </w:r>
          </w:p>
        </w:tc>
        <w:tc>
          <w:tcPr>
            <w:tcW w:type="dxa" w:w="1871"/>
          </w:tcPr>
          <w:p>
            <w:r>
              <w:rPr>
                <w:sz w:val="18"/>
              </w:rPr>
              <w:t>Tahunan</w:t>
            </w:r>
          </w:p>
        </w:tc>
      </w:tr>
      <w:tr>
        <w:tc>
          <w:tcPr>
            <w:tcW w:type="dxa" w:w="1871"/>
            <w:shd w:val="clear" w:color="auto" w:fill="DEEAF1"/>
          </w:tcPr>
          <w:p>
            <w:r>
              <w:rPr>
                <w:sz w:val="18"/>
              </w:rPr>
              <w:t>Patch management tepat waktu</w:t>
            </w:r>
          </w:p>
        </w:tc>
        <w:tc>
          <w:tcPr>
            <w:tcW w:type="dxa" w:w="1871"/>
            <w:shd w:val="clear" w:color="auto" w:fill="DEEAF1"/>
          </w:tcPr>
          <w:p>
            <w:r>
              <w:rPr>
                <w:sz w:val="18"/>
              </w:rPr>
              <w:t>Persentase patch kritis diterapkan dalam 72 jam</w:t>
            </w:r>
          </w:p>
        </w:tc>
        <w:tc>
          <w:tcPr>
            <w:tcW w:type="dxa" w:w="1871"/>
            <w:shd w:val="clear" w:color="auto" w:fill="DEEAF1"/>
          </w:tcPr>
          <w:p>
            <w:r>
              <w:rPr>
                <w:sz w:val="18"/>
              </w:rPr>
              <w:t>&gt;= 98%</w:t>
            </w:r>
          </w:p>
        </w:tc>
        <w:tc>
          <w:tcPr>
            <w:tcW w:type="dxa" w:w="1871"/>
            <w:shd w:val="clear" w:color="auto" w:fill="DEEAF1"/>
          </w:tcPr>
          <w:p>
            <w:r>
              <w:rPr>
                <w:sz w:val="18"/>
              </w:rPr>
              <w:t>Kepala IT</w:t>
            </w:r>
          </w:p>
        </w:tc>
        <w:tc>
          <w:tcPr>
            <w:tcW w:type="dxa" w:w="1871"/>
            <w:shd w:val="clear" w:color="auto" w:fill="DEEAF1"/>
          </w:tcPr>
          <w:p>
            <w:r>
              <w:rPr>
                <w:sz w:val="18"/>
              </w:rPr>
              <w:t>Bulanan</w:t>
            </w:r>
          </w:p>
        </w:tc>
      </w:tr>
      <w:tr>
        <w:tc>
          <w:tcPr>
            <w:tcW w:type="dxa" w:w="1871"/>
          </w:tcPr>
          <w:p>
            <w:r>
              <w:rPr>
                <w:sz w:val="18"/>
              </w:rPr>
              <w:t>Manajemen akses yang efektif</w:t>
            </w:r>
          </w:p>
        </w:tc>
        <w:tc>
          <w:tcPr>
            <w:tcW w:type="dxa" w:w="1871"/>
          </w:tcPr>
          <w:p>
            <w:r>
              <w:rPr>
                <w:sz w:val="18"/>
              </w:rPr>
              <w:t>Persentase akun non-aktif yang dicabut dalam 24 jam setelah karyawan keluar</w:t>
            </w:r>
          </w:p>
        </w:tc>
        <w:tc>
          <w:tcPr>
            <w:tcW w:type="dxa" w:w="1871"/>
          </w:tcPr>
          <w:p>
            <w:r>
              <w:rPr>
                <w:sz w:val="18"/>
              </w:rPr>
              <w:t>100%</w:t>
            </w:r>
          </w:p>
        </w:tc>
        <w:tc>
          <w:tcPr>
            <w:tcW w:type="dxa" w:w="1871"/>
          </w:tcPr>
          <w:p>
            <w:r>
              <w:rPr>
                <w:sz w:val="18"/>
              </w:rPr>
              <w:t>IT &amp; HRD</w:t>
            </w:r>
          </w:p>
        </w:tc>
        <w:tc>
          <w:tcPr>
            <w:tcW w:type="dxa" w:w="1871"/>
          </w:tcPr>
          <w:p>
            <w:r>
              <w:rPr>
                <w:sz w:val="18"/>
              </w:rPr>
              <w:t>Bulanan</w:t>
            </w:r>
          </w:p>
        </w:tc>
      </w:tr>
    </w:tbl>
    <w:p>
      <w:r>
        <w:br w:type="page"/>
      </w:r>
    </w:p>
    <w:p>
      <w:pPr>
        <w:spacing w:before="280" w:after="120"/>
        <w:pBdr>
          <w:bottom w:val="single" w:sz="6" w:color="1F497D"/>
        </w:pBdr>
      </w:pPr>
      <w:r>
        <w:rPr>
          <w:b/>
          <w:color w:val="1F497D"/>
          <w:sz w:val="28"/>
        </w:rPr>
        <w:t>7. STRUKTUR DAN SUMBER DAYA ISMS</w:t>
      </w:r>
    </w:p>
    <w:p>
      <w:pPr>
        <w:spacing w:before="200" w:after="120"/>
      </w:pPr>
      <w:r>
        <w:rPr>
          <w:b/>
          <w:color w:val="2E74B5"/>
          <w:sz w:val="24"/>
        </w:rPr>
        <w:t>7.1 Struktur Tata Kelola ISMS</w:t>
      </w:r>
    </w:p>
    <w:p>
      <w:pPr>
        <w:spacing w:before="40" w:after="80"/>
      </w:pPr>
      <w:r>
        <w:rPr>
          <w:sz w:val="22"/>
        </w:rPr>
        <w:t>Tata kelola ISMS PT Equity Life Indonesia dijalankan melalui struktur berikut:</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Badan/Peran</w:t>
            </w:r>
          </w:p>
        </w:tc>
        <w:tc>
          <w:tcPr>
            <w:tcW w:type="dxa" w:w="2339"/>
            <w:shd w:val="clear" w:color="auto" w:fill="1F497D"/>
          </w:tcPr>
          <w:p>
            <w:r>
              <w:rPr>
                <w:b/>
                <w:color w:val="FFFFFF"/>
                <w:sz w:val="18"/>
              </w:rPr>
              <w:t>Komposisi</w:t>
            </w:r>
          </w:p>
        </w:tc>
        <w:tc>
          <w:tcPr>
            <w:tcW w:type="dxa" w:w="2339"/>
            <w:shd w:val="clear" w:color="auto" w:fill="1F497D"/>
          </w:tcPr>
          <w:p>
            <w:r>
              <w:rPr>
                <w:b/>
                <w:color w:val="FFFFFF"/>
                <w:sz w:val="18"/>
              </w:rPr>
              <w:t>Tanggung Jawab Utama</w:t>
            </w:r>
          </w:p>
        </w:tc>
        <w:tc>
          <w:tcPr>
            <w:tcW w:type="dxa" w:w="2339"/>
            <w:shd w:val="clear" w:color="auto" w:fill="1F497D"/>
          </w:tcPr>
          <w:p>
            <w:r>
              <w:rPr>
                <w:b/>
                <w:color w:val="FFFFFF"/>
                <w:sz w:val="18"/>
              </w:rPr>
              <w:t>Frekuensi Pertemuan</w:t>
            </w:r>
          </w:p>
        </w:tc>
      </w:tr>
      <w:tr>
        <w:tc>
          <w:tcPr>
            <w:tcW w:type="dxa" w:w="2339"/>
            <w:shd w:val="clear" w:color="auto" w:fill="DEEAF1"/>
          </w:tcPr>
          <w:p>
            <w:r>
              <w:rPr>
                <w:sz w:val="18"/>
              </w:rPr>
              <w:t>Komite Keamanan Informasi</w:t>
            </w:r>
          </w:p>
        </w:tc>
        <w:tc>
          <w:tcPr>
            <w:tcW w:type="dxa" w:w="2339"/>
            <w:shd w:val="clear" w:color="auto" w:fill="DEEAF1"/>
          </w:tcPr>
          <w:p>
            <w:r>
              <w:rPr>
                <w:sz w:val="18"/>
              </w:rPr>
              <w:t>Direksi + CISO + Kepala Departemen terkait</w:t>
            </w:r>
          </w:p>
        </w:tc>
        <w:tc>
          <w:tcPr>
            <w:tcW w:type="dxa" w:w="2339"/>
            <w:shd w:val="clear" w:color="auto" w:fill="DEEAF1"/>
          </w:tcPr>
          <w:p>
            <w:r>
              <w:rPr>
                <w:sz w:val="18"/>
              </w:rPr>
              <w:t>Arah strategis ISMS; persetujuan kebijakan; tinjauan risiko utama</w:t>
            </w:r>
          </w:p>
        </w:tc>
        <w:tc>
          <w:tcPr>
            <w:tcW w:type="dxa" w:w="2339"/>
            <w:shd w:val="clear" w:color="auto" w:fill="DEEAF1"/>
          </w:tcPr>
          <w:p>
            <w:r>
              <w:rPr>
                <w:sz w:val="18"/>
              </w:rPr>
              <w:t>Triwulan</w:t>
            </w:r>
          </w:p>
        </w:tc>
      </w:tr>
      <w:tr>
        <w:tc>
          <w:tcPr>
            <w:tcW w:type="dxa" w:w="2339"/>
          </w:tcPr>
          <w:p>
            <w:r>
              <w:rPr>
                <w:sz w:val="18"/>
              </w:rPr>
              <w:t>Chief Information Security Officer (CISO)</w:t>
            </w:r>
          </w:p>
        </w:tc>
        <w:tc>
          <w:tcPr>
            <w:tcW w:type="dxa" w:w="2339"/>
          </w:tcPr>
          <w:p>
            <w:r>
              <w:rPr>
                <w:sz w:val="18"/>
              </w:rPr>
              <w:t>Senior Management Level</w:t>
            </w:r>
          </w:p>
        </w:tc>
        <w:tc>
          <w:tcPr>
            <w:tcW w:type="dxa" w:w="2339"/>
          </w:tcPr>
          <w:p>
            <w:r>
              <w:rPr>
                <w:sz w:val="18"/>
              </w:rPr>
              <w:t>Kepemimpinan operasional ISMS; koordinasi lintas departemen</w:t>
            </w:r>
          </w:p>
        </w:tc>
        <w:tc>
          <w:tcPr>
            <w:tcW w:type="dxa" w:w="2339"/>
          </w:tcPr>
          <w:p>
            <w:r>
              <w:rPr>
                <w:sz w:val="18"/>
              </w:rPr>
              <w:t>Sehari-hari</w:t>
            </w:r>
          </w:p>
        </w:tc>
      </w:tr>
      <w:tr>
        <w:tc>
          <w:tcPr>
            <w:tcW w:type="dxa" w:w="2339"/>
            <w:shd w:val="clear" w:color="auto" w:fill="DEEAF1"/>
          </w:tcPr>
          <w:p>
            <w:r>
              <w:rPr>
                <w:sz w:val="18"/>
              </w:rPr>
              <w:t>Tim Keamanan Informasi (IT Security)</w:t>
            </w:r>
          </w:p>
        </w:tc>
        <w:tc>
          <w:tcPr>
            <w:tcW w:type="dxa" w:w="2339"/>
            <w:shd w:val="clear" w:color="auto" w:fill="DEEAF1"/>
          </w:tcPr>
          <w:p>
            <w:r>
              <w:rPr>
                <w:sz w:val="18"/>
              </w:rPr>
              <w:t>Tim teknis di bawah CISO</w:t>
            </w:r>
          </w:p>
        </w:tc>
        <w:tc>
          <w:tcPr>
            <w:tcW w:type="dxa" w:w="2339"/>
            <w:shd w:val="clear" w:color="auto" w:fill="DEEAF1"/>
          </w:tcPr>
          <w:p>
            <w:r>
              <w:rPr>
                <w:sz w:val="18"/>
              </w:rPr>
              <w:t>Implementasi kontrol teknis; monitoring; respons insiden</w:t>
            </w:r>
          </w:p>
        </w:tc>
        <w:tc>
          <w:tcPr>
            <w:tcW w:type="dxa" w:w="2339"/>
            <w:shd w:val="clear" w:color="auto" w:fill="DEEAF1"/>
          </w:tcPr>
          <w:p>
            <w:r>
              <w:rPr>
                <w:sz w:val="18"/>
              </w:rPr>
              <w:t>Sehari-hari</w:t>
            </w:r>
          </w:p>
        </w:tc>
      </w:tr>
      <w:tr>
        <w:tc>
          <w:tcPr>
            <w:tcW w:type="dxa" w:w="2339"/>
          </w:tcPr>
          <w:p>
            <w:r>
              <w:rPr>
                <w:sz w:val="18"/>
              </w:rPr>
              <w:t>Risk &amp; Compliance Department</w:t>
            </w:r>
          </w:p>
        </w:tc>
        <w:tc>
          <w:tcPr>
            <w:tcW w:type="dxa" w:w="2339"/>
          </w:tcPr>
          <w:p>
            <w:r>
              <w:rPr>
                <w:sz w:val="18"/>
              </w:rPr>
              <w:t>Koordinasi dengan CISO</w:t>
            </w:r>
          </w:p>
        </w:tc>
        <w:tc>
          <w:tcPr>
            <w:tcW w:type="dxa" w:w="2339"/>
          </w:tcPr>
          <w:p>
            <w:r>
              <w:rPr>
                <w:sz w:val="18"/>
              </w:rPr>
              <w:t>Penilaian risiko; kepatuhan regulasi; audit internal</w:t>
            </w:r>
          </w:p>
        </w:tc>
        <w:tc>
          <w:tcPr>
            <w:tcW w:type="dxa" w:w="2339"/>
          </w:tcPr>
          <w:p>
            <w:r>
              <w:rPr>
                <w:sz w:val="18"/>
              </w:rPr>
              <w:t>Bulanan</w:t>
            </w:r>
          </w:p>
        </w:tc>
      </w:tr>
      <w:tr>
        <w:tc>
          <w:tcPr>
            <w:tcW w:type="dxa" w:w="2339"/>
            <w:shd w:val="clear" w:color="auto" w:fill="DEEAF1"/>
          </w:tcPr>
          <w:p>
            <w:r>
              <w:rPr>
                <w:sz w:val="18"/>
              </w:rPr>
              <w:t>IT Steering Committee</w:t>
            </w:r>
          </w:p>
        </w:tc>
        <w:tc>
          <w:tcPr>
            <w:tcW w:type="dxa" w:w="2339"/>
            <w:shd w:val="clear" w:color="auto" w:fill="DEEAF1"/>
          </w:tcPr>
          <w:p>
            <w:r>
              <w:rPr>
                <w:sz w:val="18"/>
              </w:rPr>
              <w:t>Direksi + Kepala IT + CISO</w:t>
            </w:r>
          </w:p>
        </w:tc>
        <w:tc>
          <w:tcPr>
            <w:tcW w:type="dxa" w:w="2339"/>
            <w:shd w:val="clear" w:color="auto" w:fill="DEEAF1"/>
          </w:tcPr>
          <w:p>
            <w:r>
              <w:rPr>
                <w:sz w:val="18"/>
              </w:rPr>
              <w:t>Keputusan investasi TI yang berdampak pada keamanan</w:t>
            </w:r>
          </w:p>
        </w:tc>
        <w:tc>
          <w:tcPr>
            <w:tcW w:type="dxa" w:w="2339"/>
            <w:shd w:val="clear" w:color="auto" w:fill="DEEAF1"/>
          </w:tcPr>
          <w:p>
            <w:r>
              <w:rPr>
                <w:sz w:val="18"/>
              </w:rPr>
              <w:t>Bulanan</w:t>
            </w:r>
          </w:p>
        </w:tc>
      </w:tr>
      <w:tr>
        <w:tc>
          <w:tcPr>
            <w:tcW w:type="dxa" w:w="2339"/>
          </w:tcPr>
          <w:p>
            <w:r>
              <w:rPr>
                <w:sz w:val="18"/>
              </w:rPr>
              <w:t>Data Protection Officer (DPO)</w:t>
            </w:r>
          </w:p>
        </w:tc>
        <w:tc>
          <w:tcPr>
            <w:tcW w:type="dxa" w:w="2339"/>
          </w:tcPr>
          <w:p>
            <w:r>
              <w:rPr>
                <w:sz w:val="18"/>
              </w:rPr>
              <w:t>Ditunjuk sesuai UU PDP</w:t>
            </w:r>
          </w:p>
        </w:tc>
        <w:tc>
          <w:tcPr>
            <w:tcW w:type="dxa" w:w="2339"/>
          </w:tcPr>
          <w:p>
            <w:r>
              <w:rPr>
                <w:sz w:val="18"/>
              </w:rPr>
              <w:t>Memastikan kepatuhan perlindungan data pribadi</w:t>
            </w:r>
          </w:p>
        </w:tc>
        <w:tc>
          <w:tcPr>
            <w:tcW w:type="dxa" w:w="2339"/>
          </w:tcPr>
          <w:p>
            <w:r>
              <w:rPr>
                <w:sz w:val="18"/>
              </w:rPr>
              <w:t>Sehari-hari</w:t>
            </w:r>
          </w:p>
        </w:tc>
      </w:tr>
    </w:tbl>
    <w:p>
      <w:pPr>
        <w:spacing w:before="200" w:after="120"/>
      </w:pPr>
      <w:r>
        <w:rPr>
          <w:b/>
          <w:color w:val="2E74B5"/>
          <w:sz w:val="24"/>
        </w:rPr>
        <w:t>7.2 Sumber Daya ISMS</w:t>
      </w:r>
    </w:p>
    <w:tbl>
      <w:tblPr>
        <w:tblStyle w:val="TableGrid"/>
        <w:tblW w:type="auto" w:w="0"/>
        <w:tblLook w:firstColumn="1" w:firstRow="1" w:lastColumn="0" w:lastRow="0" w:noHBand="0" w:noVBand="1" w:val="04A0"/>
      </w:tblPr>
      <w:tblGrid>
        <w:gridCol w:w="4677"/>
        <w:gridCol w:w="4677"/>
      </w:tblGrid>
      <w:tr>
        <w:tc>
          <w:tcPr>
            <w:tcW w:type="dxa" w:w="4677"/>
            <w:shd w:val="clear" w:color="auto" w:fill="1F497D"/>
          </w:tcPr>
          <w:p>
            <w:r>
              <w:rPr>
                <w:b/>
                <w:color w:val="FFFFFF"/>
                <w:sz w:val="20"/>
              </w:rPr>
              <w:t>Kategori Sumber Daya</w:t>
            </w:r>
          </w:p>
        </w:tc>
        <w:tc>
          <w:tcPr>
            <w:tcW w:type="dxa" w:w="4677"/>
            <w:shd w:val="clear" w:color="auto" w:fill="1F497D"/>
          </w:tcPr>
          <w:p>
            <w:r>
              <w:rPr>
                <w:b/>
                <w:color w:val="FFFFFF"/>
                <w:sz w:val="20"/>
              </w:rPr>
              <w:t>Detail</w:t>
            </w:r>
          </w:p>
        </w:tc>
      </w:tr>
      <w:tr>
        <w:tc>
          <w:tcPr>
            <w:tcW w:type="dxa" w:w="4677"/>
            <w:shd w:val="clear" w:color="auto" w:fill="DEEAF1"/>
          </w:tcPr>
          <w:p>
            <w:r>
              <w:rPr>
                <w:b/>
                <w:sz w:val="20"/>
              </w:rPr>
              <w:t>Sumber Daya Manusia</w:t>
            </w:r>
          </w:p>
        </w:tc>
        <w:tc>
          <w:tcPr>
            <w:tcW w:type="dxa" w:w="4677"/>
            <w:shd w:val="clear" w:color="auto" w:fill="DEEAF1"/>
          </w:tcPr>
          <w:p>
            <w:r>
              <w:rPr>
                <w:sz w:val="20"/>
              </w:rPr>
              <w:t>Tim IT Security (minimal [X] staf bersertifikat); CISO berpengalaman; DPO yang ditunjuk; pelatihan keamanan untuk semua karyawan</w:t>
            </w:r>
          </w:p>
        </w:tc>
      </w:tr>
      <w:tr>
        <w:tc>
          <w:tcPr>
            <w:tcW w:type="dxa" w:w="4677"/>
          </w:tcPr>
          <w:p>
            <w:r>
              <w:rPr>
                <w:b/>
                <w:sz w:val="20"/>
              </w:rPr>
              <w:t>Teknologi</w:t>
            </w:r>
          </w:p>
        </w:tc>
        <w:tc>
          <w:tcPr>
            <w:tcW w:type="dxa" w:w="4677"/>
          </w:tcPr>
          <w:p>
            <w:r>
              <w:rPr>
                <w:sz w:val="20"/>
              </w:rPr>
              <w:t>SIEM (Security Information and Event Management); EDR/XDR; Firewall Enterprise; IDS/IPS; DLP; PAM; Vulnerability Scanner; Backup &amp; Recovery System</w:t>
            </w:r>
          </w:p>
        </w:tc>
      </w:tr>
      <w:tr>
        <w:tc>
          <w:tcPr>
            <w:tcW w:type="dxa" w:w="4677"/>
            <w:shd w:val="clear" w:color="auto" w:fill="DEEAF1"/>
          </w:tcPr>
          <w:p>
            <w:r>
              <w:rPr>
                <w:b/>
                <w:sz w:val="20"/>
              </w:rPr>
              <w:t>Keuangan</w:t>
            </w:r>
          </w:p>
        </w:tc>
        <w:tc>
          <w:tcPr>
            <w:tcW w:type="dxa" w:w="4677"/>
            <w:shd w:val="clear" w:color="auto" w:fill="DEEAF1"/>
          </w:tcPr>
          <w:p>
            <w:r>
              <w:rPr>
                <w:sz w:val="20"/>
              </w:rPr>
              <w:t>Anggaran keamanan informasi yang ditetapkan setiap tahun dalam RKAT; minimal [X]% dari total anggaran IT</w:t>
            </w:r>
          </w:p>
        </w:tc>
      </w:tr>
      <w:tr>
        <w:tc>
          <w:tcPr>
            <w:tcW w:type="dxa" w:w="4677"/>
          </w:tcPr>
          <w:p>
            <w:r>
              <w:rPr>
                <w:b/>
                <w:sz w:val="20"/>
              </w:rPr>
              <w:t>Infrastruktur</w:t>
            </w:r>
          </w:p>
        </w:tc>
        <w:tc>
          <w:tcPr>
            <w:tcW w:type="dxa" w:w="4677"/>
          </w:tcPr>
          <w:p>
            <w:r>
              <w:rPr>
                <w:sz w:val="20"/>
              </w:rPr>
              <w:t>Data center yang bersertifikat (Tier III minimal); fasilitas keamanan fisik yang memadai; koneksi redundan</w:t>
            </w:r>
          </w:p>
        </w:tc>
      </w:tr>
      <w:tr>
        <w:tc>
          <w:tcPr>
            <w:tcW w:type="dxa" w:w="4677"/>
            <w:shd w:val="clear" w:color="auto" w:fill="DEEAF1"/>
          </w:tcPr>
          <w:p>
            <w:r>
              <w:rPr>
                <w:b/>
                <w:sz w:val="20"/>
              </w:rPr>
              <w:t>Dokumen &amp; Proses</w:t>
            </w:r>
          </w:p>
        </w:tc>
        <w:tc>
          <w:tcPr>
            <w:tcW w:type="dxa" w:w="4677"/>
            <w:shd w:val="clear" w:color="auto" w:fill="DEEAF1"/>
          </w:tcPr>
          <w:p>
            <w:r>
              <w:rPr>
                <w:sz w:val="20"/>
              </w:rPr>
              <w:t>Sistem manajemen dokumen untuk ISMS; sistem ticketing untuk insiden; platform e-learning untuk pelatihan keamanan</w:t>
            </w:r>
          </w:p>
        </w:tc>
      </w:tr>
    </w:tbl>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PT Equity Life Indonesia  |  ISMS-SCO-001  |  Februari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497D"/>
        <w:sz w:val="16"/>
      </w:rPr>
      <w:t>PT Equity Life Indonesia  |  Konteks Organisasi dan Ruang Lingkup ISMS  |  ISMS-SCO-001  |  Versi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