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1F497D"/>
          </w:tcPr>
          <w:p>
            <w:pPr>
              <w:spacing w:before="400" w:after="400"/>
              <w:jc w:val="center"/>
            </w:pPr>
            <w:r>
              <w:rPr>
                <w:b/>
                <w:color w:val="FFFFFF"/>
                <w:sz w:val="36"/>
              </w:rPr>
              <w:t>PT EQUITY LIFE INDONESIA</w:t>
            </w:r>
          </w:p>
        </w:tc>
      </w:tr>
    </w:tbl>
    <w:p/>
    <w:p>
      <w:pPr>
        <w:jc w:val="center"/>
      </w:pPr>
      <w:r>
        <w:rPr>
          <w:color w:val="2E74B5"/>
          <w:sz w:val="28"/>
        </w:rPr>
        <w:t>ISO/IEC 27001:2022</w:t>
      </w:r>
    </w:p>
    <w:p/>
    <w:p>
      <w:pPr>
        <w:jc w:val="center"/>
      </w:pPr>
      <w:r>
        <w:rPr>
          <w:b/>
          <w:color w:val="1F497D"/>
          <w:sz w:val="40"/>
        </w:rPr>
        <w:t>Pernyataan Penerapan (Statement of Applicability)</w:t>
      </w:r>
    </w:p>
    <w:p>
      <w:pPr>
        <w:jc w:val="center"/>
      </w:pPr>
      <w:r>
        <w:rPr>
          <w:color w:val="2E74B5"/>
          <w:sz w:val="24"/>
        </w:rPr>
        <w:t>Annex A - 93 Kontrol Keamanan Informasi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DEEAF1"/>
          </w:tcPr>
          <w:p>
            <w:r>
              <w:rPr>
                <w:b/>
                <w:color w:val="1F497D"/>
                <w:sz w:val="20"/>
              </w:rPr>
              <w:t>Nomor Dokumen</w:t>
            </w:r>
          </w:p>
        </w:tc>
        <w:tc>
          <w:tcPr>
            <w:tcW w:type="dxa" w:w="7569"/>
          </w:tcPr>
          <w:p>
            <w:r>
              <w:rPr>
                <w:sz w:val="20"/>
              </w:rPr>
              <w:t>ISMS-SOA-001</w:t>
            </w:r>
          </w:p>
        </w:tc>
      </w:tr>
      <w:tr>
        <w:tc>
          <w:tcPr>
            <w:tcW w:type="dxa" w:w="7569"/>
            <w:shd w:val="clear" w:color="auto" w:fill="DEEAF1"/>
          </w:tcPr>
          <w:p>
            <w:r>
              <w:rPr>
                <w:b/>
                <w:color w:val="1F497D"/>
                <w:sz w:val="20"/>
              </w:rPr>
              <w:t>Versi</w:t>
            </w:r>
          </w:p>
        </w:tc>
        <w:tc>
          <w:tcPr>
            <w:tcW w:type="dxa" w:w="7569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7569"/>
            <w:shd w:val="clear" w:color="auto" w:fill="DEEAF1"/>
          </w:tcPr>
          <w:p>
            <w:r>
              <w:rPr>
                <w:b/>
                <w:color w:val="1F497D"/>
                <w:sz w:val="20"/>
              </w:rPr>
              <w:t>Tanggal Efektif</w:t>
            </w:r>
          </w:p>
        </w:tc>
        <w:tc>
          <w:tcPr>
            <w:tcW w:type="dxa" w:w="7569"/>
          </w:tcPr>
          <w:p>
            <w:r>
              <w:rPr>
                <w:sz w:val="20"/>
              </w:rPr>
              <w:t>Februari 2026</w:t>
            </w:r>
          </w:p>
        </w:tc>
      </w:tr>
      <w:tr>
        <w:tc>
          <w:tcPr>
            <w:tcW w:type="dxa" w:w="7569"/>
            <w:shd w:val="clear" w:color="auto" w:fill="DEEAF1"/>
          </w:tcPr>
          <w:p>
            <w:r>
              <w:rPr>
                <w:b/>
                <w:color w:val="1F497D"/>
                <w:sz w:val="20"/>
              </w:rPr>
              <w:t>Total Kontrol</w:t>
            </w:r>
          </w:p>
        </w:tc>
        <w:tc>
          <w:tcPr>
            <w:tcW w:type="dxa" w:w="7569"/>
          </w:tcPr>
          <w:p>
            <w:r>
              <w:rPr>
                <w:sz w:val="20"/>
              </w:rPr>
              <w:t>93 Kontrol (4 Tema)</w:t>
            </w:r>
          </w:p>
        </w:tc>
      </w:tr>
      <w:tr>
        <w:tc>
          <w:tcPr>
            <w:tcW w:type="dxa" w:w="7569"/>
            <w:shd w:val="clear" w:color="auto" w:fill="DEEAF1"/>
          </w:tcPr>
          <w:p>
            <w:r>
              <w:rPr>
                <w:b/>
                <w:color w:val="1F497D"/>
                <w:sz w:val="20"/>
              </w:rPr>
              <w:t>Klasifikasi</w:t>
            </w:r>
          </w:p>
        </w:tc>
        <w:tc>
          <w:tcPr>
            <w:tcW w:type="dxa" w:w="7569"/>
          </w:tcPr>
          <w:p>
            <w:r>
              <w:rPr>
                <w:sz w:val="20"/>
              </w:rPr>
              <w:t>RAHASIA - INTERNAL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Tema 5</w:t>
              <w:br/>
              <w:t>Organisasi</w:t>
            </w:r>
          </w:p>
        </w:tc>
        <w:tc>
          <w:tcPr>
            <w:tcW w:type="dxa" w:w="3784"/>
            <w:shd w:val="clear" w:color="auto" w:fill="1B6C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Tema 6</w:t>
              <w:br/>
              <w:t>Sumber Daya Manusia</w:t>
            </w:r>
          </w:p>
        </w:tc>
        <w:tc>
          <w:tcPr>
            <w:tcW w:type="dxa" w:w="3784"/>
            <w:shd w:val="clear" w:color="auto" w:fill="0B534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Tema 7</w:t>
              <w:br/>
              <w:t>Fisik</w:t>
            </w:r>
          </w:p>
        </w:tc>
        <w:tc>
          <w:tcPr>
            <w:tcW w:type="dxa" w:w="3784"/>
            <w:shd w:val="clear" w:color="auto" w:fill="7B0D1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Tema 8</w:t>
              <w:br/>
              <w:t>Teknologi</w:t>
            </w:r>
          </w:p>
        </w:tc>
      </w:tr>
      <w:tr>
        <w:tc>
          <w:tcPr>
            <w:tcW w:type="dxa" w:w="378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37 kontrol</w:t>
            </w:r>
          </w:p>
        </w:tc>
        <w:tc>
          <w:tcPr>
            <w:tcW w:type="dxa" w:w="3784"/>
            <w:shd w:val="clear" w:color="auto" w:fill="1B6CA8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8 kontrol</w:t>
            </w:r>
          </w:p>
        </w:tc>
        <w:tc>
          <w:tcPr>
            <w:tcW w:type="dxa" w:w="3784"/>
            <w:shd w:val="clear" w:color="auto" w:fill="0B534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14 kontrol</w:t>
            </w:r>
          </w:p>
        </w:tc>
        <w:tc>
          <w:tcPr>
            <w:tcW w:type="dxa" w:w="3784"/>
            <w:shd w:val="clear" w:color="auto" w:fill="7B0D1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34 kontrol</w:t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6" w:color="1F497D"/>
        </w:pBdr>
      </w:pPr>
      <w:r>
        <w:rPr>
          <w:b/>
          <w:color w:val="1F497D"/>
          <w:sz w:val="28"/>
        </w:rPr>
        <w:t>1. PENDAHULUAN DAN PETUNJUK PENGGUNAAN</w:t>
      </w:r>
    </w:p>
    <w:p>
      <w:pPr>
        <w:spacing w:before="40" w:after="80"/>
      </w:pPr>
      <w:r>
        <w:rPr>
          <w:sz w:val="20"/>
        </w:rPr>
        <w:t>Dokumen Statement of Applicability (SoA) ini menyatakan kontrol keamanan informasi mana yang diterapkan oleh PT Equity Life Indonesia dalam Sistem Manajemen Keamanan Informasi (ISMS)-nya, sesuai dengan persyaratan ISO/IEC 27001:2022 Klausul 6.1.3(d).</w:t>
      </w:r>
    </w:p>
    <w:p>
      <w:pPr>
        <w:spacing w:before="40" w:after="80"/>
      </w:pPr>
      <w:r>
        <w:rPr>
          <w:sz w:val="20"/>
        </w:rPr>
        <w:t>SoA ini mencakup seluruh 93 kontrol yang terdapat dalam Annex A ISO/IEC 27001:2022, yang diorganisasikan dalam 4 (empat) tema: Organisasi (5.1-5.37), Sumber Daya Manusia (6.1-6.8), Fisik (7.1-7.14), dan Teknologi (8.1-8.34).</w:t>
      </w:r>
    </w:p>
    <w:p>
      <w:pPr>
        <w:spacing w:before="200" w:after="120"/>
      </w:pPr>
      <w:r>
        <w:rPr>
          <w:b/>
          <w:color w:val="2E74B5"/>
          <w:sz w:val="24"/>
        </w:rPr>
        <w:t>1.1 Legenda Status Penerapan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04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type="dxa" w:w="504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5046"/>
            <w:shd w:val="clear" w:color="auto" w:fill="C8E6C9"/>
          </w:tcPr>
          <w:p>
            <w:r>
              <w:rPr>
                <w:b/>
                <w:sz w:val="20"/>
              </w:rPr>
              <w:t>Diterapkan</w:t>
            </w:r>
          </w:p>
        </w:tc>
        <w:tc>
          <w:tcPr>
            <w:tcW w:type="dxa" w:w="5046"/>
            <w:shd w:val="clear" w:color="auto" w:fill="C8E6C9"/>
          </w:tcPr>
          <w:p>
            <w:r>
              <w:rPr>
                <w:sz w:val="20"/>
              </w:rPr>
              <w:t>Y</w:t>
            </w:r>
          </w:p>
        </w:tc>
        <w:tc>
          <w:tcPr>
            <w:tcW w:type="dxa" w:w="5046"/>
            <w:shd w:val="clear" w:color="auto" w:fill="C8E6C9"/>
          </w:tcPr>
          <w:p>
            <w:r>
              <w:rPr>
                <w:sz w:val="20"/>
              </w:rPr>
              <w:t>Kontrol telah diterapkan sepenuhnya</w:t>
            </w:r>
          </w:p>
        </w:tc>
      </w:tr>
      <w:tr>
        <w:tc>
          <w:tcPr>
            <w:tcW w:type="dxa" w:w="5046"/>
            <w:shd w:val="clear" w:color="auto" w:fill="FFF9C4"/>
          </w:tcPr>
          <w:p>
            <w:r>
              <w:rPr>
                <w:b/>
                <w:sz w:val="20"/>
              </w:rPr>
              <w:t>Dalam Proses</w:t>
            </w:r>
          </w:p>
        </w:tc>
        <w:tc>
          <w:tcPr>
            <w:tcW w:type="dxa" w:w="5046"/>
            <w:shd w:val="clear" w:color="auto" w:fill="FFF9C4"/>
          </w:tcPr>
          <w:p>
            <w:r>
              <w:rPr>
                <w:sz w:val="20"/>
              </w:rPr>
              <w:t>P</w:t>
            </w:r>
          </w:p>
        </w:tc>
        <w:tc>
          <w:tcPr>
            <w:tcW w:type="dxa" w:w="5046"/>
            <w:shd w:val="clear" w:color="auto" w:fill="FFF9C4"/>
          </w:tcPr>
          <w:p>
            <w:r>
              <w:rPr>
                <w:sz w:val="20"/>
              </w:rPr>
              <w:t>Kontrol sedang dalam proses implementasi</w:t>
            </w:r>
          </w:p>
        </w:tc>
      </w:tr>
      <w:tr>
        <w:tc>
          <w:tcPr>
            <w:tcW w:type="dxa" w:w="5046"/>
            <w:shd w:val="clear" w:color="auto" w:fill="E0E0E0"/>
          </w:tcPr>
          <w:p>
            <w:r>
              <w:rPr>
                <w:b/>
                <w:sz w:val="20"/>
              </w:rPr>
              <w:t>Tidak Berlaku</w:t>
            </w:r>
          </w:p>
        </w:tc>
        <w:tc>
          <w:tcPr>
            <w:tcW w:type="dxa" w:w="5046"/>
            <w:shd w:val="clear" w:color="auto" w:fill="E0E0E0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5046"/>
            <w:shd w:val="clear" w:color="auto" w:fill="E0E0E0"/>
          </w:tcPr>
          <w:p>
            <w:r>
              <w:rPr>
                <w:sz w:val="20"/>
              </w:rPr>
              <w:t>Kontrol tidak relevan dengan ruang lingkup ISMS; justifikasi terdokumentasi</w:t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6" w:color="1F497D"/>
        </w:pBdr>
      </w:pPr>
      <w:r>
        <w:rPr>
          <w:b/>
          <w:color w:val="1F497D"/>
          <w:sz w:val="28"/>
        </w:rPr>
        <w:t>3. RINGKASAN STATISTIK PENERAPAN KONTROL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504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Jumlah Kontrol</w:t>
            </w:r>
          </w:p>
        </w:tc>
        <w:tc>
          <w:tcPr>
            <w:tcW w:type="dxa" w:w="504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Persentase</w:t>
            </w:r>
          </w:p>
        </w:tc>
      </w:tr>
      <w:tr>
        <w:tc>
          <w:tcPr>
            <w:tcW w:type="dxa" w:w="5046"/>
            <w:shd w:val="clear" w:color="auto" w:fill="DEEAF1"/>
          </w:tcPr>
          <w:p>
            <w:r>
              <w:rPr>
                <w:b/>
                <w:sz w:val="20"/>
              </w:rPr>
              <w:t>Total Kontrol ISO 27001:2022 Annex A</w:t>
            </w:r>
          </w:p>
        </w:tc>
        <w:tc>
          <w:tcPr>
            <w:tcW w:type="dxa" w:w="5046"/>
            <w:shd w:val="clear" w:color="auto" w:fill="DEEAF1"/>
          </w:tcPr>
          <w:p>
            <w:r>
              <w:rPr>
                <w:sz w:val="20"/>
              </w:rPr>
              <w:t>93</w:t>
            </w:r>
          </w:p>
        </w:tc>
        <w:tc>
          <w:tcPr>
            <w:tcW w:type="dxa" w:w="5046"/>
            <w:shd w:val="clear" w:color="auto" w:fill="DEEAF1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5046"/>
            <w:shd w:val="clear" w:color="auto" w:fill="C8E6C9"/>
          </w:tcPr>
          <w:p>
            <w:r>
              <w:rPr>
                <w:sz w:val="20"/>
              </w:rPr>
              <w:t>Diterapkan (Y)</w:t>
            </w:r>
          </w:p>
        </w:tc>
        <w:tc>
          <w:tcPr>
            <w:tcW w:type="dxa" w:w="5046"/>
            <w:shd w:val="clear" w:color="auto" w:fill="C8E6C9"/>
          </w:tcPr>
          <w:p>
            <w:r>
              <w:rPr>
                <w:sz w:val="20"/>
              </w:rPr>
              <w:t>69</w:t>
            </w:r>
          </w:p>
        </w:tc>
        <w:tc>
          <w:tcPr>
            <w:tcW w:type="dxa" w:w="5046"/>
            <w:shd w:val="clear" w:color="auto" w:fill="C8E6C9"/>
          </w:tcPr>
          <w:p>
            <w:r>
              <w:rPr>
                <w:sz w:val="20"/>
              </w:rPr>
              <w:t>74%</w:t>
            </w:r>
          </w:p>
        </w:tc>
      </w:tr>
      <w:tr>
        <w:tc>
          <w:tcPr>
            <w:tcW w:type="dxa" w:w="5046"/>
            <w:shd w:val="clear" w:color="auto" w:fill="FFF9C4"/>
          </w:tcPr>
          <w:p>
            <w:r>
              <w:rPr>
                <w:sz w:val="20"/>
              </w:rPr>
              <w:t>Dalam Proses Implementasi (P)</w:t>
            </w:r>
          </w:p>
        </w:tc>
        <w:tc>
          <w:tcPr>
            <w:tcW w:type="dxa" w:w="5046"/>
            <w:shd w:val="clear" w:color="auto" w:fill="FFF9C4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5046"/>
            <w:shd w:val="clear" w:color="auto" w:fill="FFF9C4"/>
          </w:tcPr>
          <w:p>
            <w:r>
              <w:rPr>
                <w:sz w:val="20"/>
              </w:rPr>
              <w:t>26%</w:t>
            </w:r>
          </w:p>
        </w:tc>
      </w:tr>
      <w:tr>
        <w:tc>
          <w:tcPr>
            <w:tcW w:type="dxa" w:w="5046"/>
            <w:shd w:val="clear" w:color="auto" w:fill="E0E0E0"/>
          </w:tcPr>
          <w:p>
            <w:r>
              <w:rPr>
                <w:sz w:val="20"/>
              </w:rPr>
              <w:t>Tidak Berlaku (N/A)</w:t>
            </w:r>
          </w:p>
        </w:tc>
        <w:tc>
          <w:tcPr>
            <w:tcW w:type="dxa" w:w="5046"/>
            <w:shd w:val="clear" w:color="auto" w:fill="E0E0E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5046"/>
            <w:shd w:val="clear" w:color="auto" w:fill="E0E0E0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5046"/>
            <w:shd w:val="clear" w:color="auto" w:fill="DEEAF1"/>
          </w:tcPr>
          <w:p>
            <w:r>
              <w:rPr>
                <w:sz w:val="20"/>
              </w:rPr>
              <w:t>Diterapkan + Dalam Proses</w:t>
            </w:r>
          </w:p>
        </w:tc>
        <w:tc>
          <w:tcPr>
            <w:tcW w:type="dxa" w:w="5046"/>
            <w:shd w:val="clear" w:color="auto" w:fill="DEEAF1"/>
          </w:tcPr>
          <w:p>
            <w:r>
              <w:rPr>
                <w:sz w:val="20"/>
              </w:rPr>
              <w:t>93</w:t>
            </w:r>
          </w:p>
        </w:tc>
        <w:tc>
          <w:tcPr>
            <w:tcW w:type="dxa" w:w="5046"/>
            <w:shd w:val="clear" w:color="auto" w:fill="DEEAF1"/>
          </w:tcPr>
          <w:p>
            <w:r>
              <w:rPr>
                <w:sz w:val="20"/>
              </w:rPr>
              <w:t>100%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30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type="dxa" w:w="30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Diterapkan (Y)</w:t>
            </w:r>
          </w:p>
        </w:tc>
        <w:tc>
          <w:tcPr>
            <w:tcW w:type="dxa" w:w="30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Dalam Proses (P)</w:t>
            </w:r>
          </w:p>
        </w:tc>
        <w:tc>
          <w:tcPr>
            <w:tcW w:type="dxa" w:w="30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Tidak Berlaku (N/A)</w:t>
            </w:r>
          </w:p>
        </w:tc>
      </w:tr>
      <w:tr>
        <w:tc>
          <w:tcPr>
            <w:tcW w:type="dxa" w:w="302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Tema 5: Organisasi (5.1-5.37)</w:t>
            </w:r>
          </w:p>
        </w:tc>
        <w:tc>
          <w:tcPr>
            <w:tcW w:type="dxa" w:w="3028"/>
            <w:shd w:val="clear" w:color="auto" w:fill="DEEAF1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3028"/>
            <w:shd w:val="clear" w:color="auto" w:fill="DEEAF1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3028"/>
            <w:shd w:val="clear" w:color="auto" w:fill="DEEAF1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3028"/>
            <w:shd w:val="clear" w:color="auto" w:fill="DEEAF1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3028"/>
            <w:shd w:val="clear" w:color="auto" w:fill="1B6CA8"/>
          </w:tcPr>
          <w:p>
            <w:r>
              <w:rPr>
                <w:b/>
                <w:color w:val="FFFFFF"/>
                <w:sz w:val="20"/>
              </w:rPr>
              <w:t>Tema 6: Sumber Daya Manusia (6.1-6.8)</w:t>
            </w:r>
          </w:p>
        </w:tc>
        <w:tc>
          <w:tcPr>
            <w:tcW w:type="dxa" w:w="3028"/>
            <w:shd w:val="clear" w:color="auto" w:fill="F2F7FB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028"/>
            <w:shd w:val="clear" w:color="auto" w:fill="F2F7FB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028"/>
            <w:shd w:val="clear" w:color="auto" w:fill="F2F7FB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028"/>
            <w:shd w:val="clear" w:color="auto" w:fill="F2F7FB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3028"/>
            <w:shd w:val="clear" w:color="auto" w:fill="0B5345"/>
          </w:tcPr>
          <w:p>
            <w:r>
              <w:rPr>
                <w:b/>
                <w:color w:val="FFFFFF"/>
                <w:sz w:val="20"/>
              </w:rPr>
              <w:t>Tema 7: Fisik (7.1-7.14)</w:t>
            </w:r>
          </w:p>
        </w:tc>
        <w:tc>
          <w:tcPr>
            <w:tcW w:type="dxa" w:w="3028"/>
            <w:shd w:val="clear" w:color="auto" w:fill="DEEAF1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3028"/>
            <w:shd w:val="clear" w:color="auto" w:fill="DEEAF1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3028"/>
            <w:shd w:val="clear" w:color="auto" w:fill="DEEAF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028"/>
            <w:shd w:val="clear" w:color="auto" w:fill="DEEAF1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3028"/>
            <w:shd w:val="clear" w:color="auto" w:fill="7B0D1E"/>
          </w:tcPr>
          <w:p>
            <w:r>
              <w:rPr>
                <w:b/>
                <w:color w:val="FFFFFF"/>
                <w:sz w:val="20"/>
              </w:rPr>
              <w:t>Tema 8: Teknologi (8.1-8.34)</w:t>
            </w:r>
          </w:p>
        </w:tc>
        <w:tc>
          <w:tcPr>
            <w:tcW w:type="dxa" w:w="3028"/>
            <w:shd w:val="clear" w:color="auto" w:fill="F2F7FB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3028"/>
            <w:shd w:val="clear" w:color="auto" w:fill="F2F7FB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3028"/>
            <w:shd w:val="clear" w:color="auto" w:fill="F2F7FB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3028"/>
            <w:shd w:val="clear" w:color="auto" w:fill="F2F7FB"/>
          </w:tcPr>
          <w:p>
            <w:r>
              <w:rPr>
                <w:sz w:val="20"/>
              </w:rPr>
              <w:t>0</w:t>
            </w:r>
          </w:p>
        </w:tc>
      </w:tr>
    </w:tbl>
    <w:p/>
    <w:p>
      <w:r>
        <w:br w:type="page"/>
      </w:r>
    </w:p>
    <w:p>
      <w:pPr>
        <w:spacing w:before="280" w:after="120"/>
        <w:pBdr>
          <w:bottom w:val="single" w:sz="6" w:color="1F497D"/>
        </w:pBdr>
      </w:pPr>
      <w:r>
        <w:rPr>
          <w:b/>
          <w:color w:val="1F497D"/>
          <w:sz w:val="28"/>
        </w:rPr>
        <w:t>2. DAFTAR KONTROL KEAMANAN INFORMASI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2E4057"/>
          </w:tcPr>
          <w:p>
            <w:pPr>
              <w:spacing w:before="160" w:after="160"/>
            </w:pPr>
            <w:r>
              <w:rPr>
                <w:b/>
                <w:color w:val="FFFFFF"/>
                <w:sz w:val="26"/>
              </w:rPr>
              <w:t>TEMA 5: KONTROL ORGANISASI (Organizational Controls) | 37 Kontrol | 5.1 - 5.37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val="clear" w:color="auto" w:fill="2E4057"/>
          </w:tcPr>
          <w:p>
            <w:r>
              <w:rPr>
                <w:b/>
                <w:color w:val="FFFFFF"/>
                <w:sz w:val="16"/>
              </w:rPr>
              <w:t>No. Kontrol</w:t>
            </w:r>
          </w:p>
        </w:tc>
        <w:tc>
          <w:tcPr>
            <w:tcW w:type="dxa" w:w="2523"/>
            <w:shd w:val="clear" w:color="auto" w:fill="2E4057"/>
          </w:tcPr>
          <w:p>
            <w:r>
              <w:rPr>
                <w:b/>
                <w:color w:val="FFFFFF"/>
                <w:sz w:val="16"/>
              </w:rPr>
              <w:t>Nama Kontrol</w:t>
            </w:r>
          </w:p>
        </w:tc>
        <w:tc>
          <w:tcPr>
            <w:tcW w:type="dxa" w:w="2523"/>
            <w:shd w:val="clear" w:color="auto" w:fill="2E4057"/>
          </w:tcPr>
          <w:p>
            <w:r>
              <w:rPr>
                <w:b/>
                <w:color w:val="FFFFFF"/>
                <w:sz w:val="16"/>
              </w:rPr>
              <w:t>Deskripsi Singkat</w:t>
            </w:r>
          </w:p>
        </w:tc>
        <w:tc>
          <w:tcPr>
            <w:tcW w:type="dxa" w:w="2523"/>
            <w:shd w:val="clear" w:color="auto" w:fill="2E4057"/>
          </w:tcPr>
          <w:p>
            <w:r>
              <w:rPr>
                <w:b/>
                <w:color w:val="FFFFFF"/>
                <w:sz w:val="16"/>
              </w:rPr>
              <w:t>Berlaku?</w:t>
            </w:r>
          </w:p>
        </w:tc>
        <w:tc>
          <w:tcPr>
            <w:tcW w:type="dxa" w:w="2523"/>
            <w:shd w:val="clear" w:color="auto" w:fill="2E4057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23"/>
            <w:shd w:val="clear" w:color="auto" w:fill="2E4057"/>
          </w:tcPr>
          <w:p>
            <w:r>
              <w:rPr>
                <w:b/>
                <w:color w:val="FFFFFF"/>
                <w:sz w:val="16"/>
              </w:rPr>
              <w:t>Justifikasi &amp; Catatan Implementasi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5.1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Kebijakan keamanan informasi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Kebijakan keamanan informasi dan kebijakan keamanan informasi spesifik topik harus ditetapkan, disetujui oleh manajemen, diterbitkan, dikomunikasikan, dan diakui oleh personel yang relevan.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Dokumen ISMS-POL-001 telah diterbitkan dan disetujui Direksi. Didistribusikan ke seluruh karyawan melalui intranet dan orientasi karyawan baru.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5.2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Peran dan tanggung jawab keamanan informasi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Peran dan tanggung jawab keamanan informasi harus ditetapkan dan dialokasikan sesuai dengan kebutuhan organisasi.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Peran CISO, Tim IT Security, DPO, dan pemilik aset telah didefinisikan dalam kebijakan ISMS dan job description masing-masing jabatan.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5.3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Segregasi tugas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Tugas dan area tanggung jawab yang bertentangan harus dipisahkan.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FFF9C4"/>
          </w:tcPr>
          <w:p>
            <w:r>
              <w:rPr>
                <w:b/>
                <w:color w:val="7B6A00"/>
                <w:sz w:val="16"/>
              </w:rPr>
              <w:t>P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SoD matrix sedang dikembangkan untuk sistem keuangan dan administrasi polis. Target selesai Q2 2026.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5.4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Tanggung jawab manajemen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Manajemen harus mengharuskan semua personel untuk menerapkan keamanan informasi sesuai dengan kebijakan keamanan informasi.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Tercantum dalam kontrak kerja, KPI karyawan, dan panduan perilaku karyawan Perusahaan.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5.5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Hubungan dengan otoritas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Organisasi harus menetapkan dan memelihara hubungan dengan otoritas yang relevan.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CISO memelihara hubungan dengan OJK, BSSN, dan aparat penegak hukum. Prosedur pelaporan insiden ke OJK terdokumentasi.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5.6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Hubungan dengan kelompok minat khusus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Organisasi harus menetapkan dan memelihara hubungan dengan kelompok minat khusus atau forum keamanan spesialis.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FFF9C4"/>
          </w:tcPr>
          <w:p>
            <w:r>
              <w:rPr>
                <w:b/>
                <w:color w:val="7B6A00"/>
                <w:sz w:val="16"/>
              </w:rPr>
              <w:t>P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Sedang dalam proses mendaftar ke asosiasi keamanan informasi (ISACA, ISF). Target keanggotaan Q2 2026.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5.7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Intelijen ancaman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Informasi terkait ancaman keamanan informasi harus dikumpulkan dan dianalisis untuk menghasilkan intelijen ancaman.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FFF9C4"/>
          </w:tcPr>
          <w:p>
            <w:r>
              <w:rPr>
                <w:b/>
                <w:color w:val="7B6A00"/>
                <w:sz w:val="16"/>
              </w:rPr>
              <w:t>P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Langganan threat intelligence feed sedang dalam evaluasi vendor. Tim SOC akan menggunakan feed ini. Target Q2 2026.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5.8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Keamanan informasi dalam manajemen proyek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Keamanan informasi harus diintegrasikan ke dalam manajemen proyek.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Security review wajib ada dalam setiap proyek TI. CISO atau perwakilan Tim Security menjadi anggota steering committee proyek strategis.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5.9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Inventarisasi informasi dan aset terkait lainnya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Inventarisasi informasi dan aset terkait lainnya, termasuk pemilik, harus dikembangkan dan dipelihara.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FFF9C4"/>
          </w:tcPr>
          <w:p>
            <w:r>
              <w:rPr>
                <w:b/>
                <w:color w:val="7B6A00"/>
                <w:sz w:val="16"/>
              </w:rPr>
              <w:t>P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Inventarisasi aset sedang diperbarui menggunakan CMDB. Target penyelesaian inventarisasi penuh Q2 2026.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5.10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Penggunaan informasi dan aset terkait lainnya yang dapat diterima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Aturan penggunaan informasi dan aset yang dapat diterima harus diidentifikasi, didokumentasikan, dan diterapkan.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Acceptable Use Policy (AUP) telah diterbitkan dan dikomunikasikan ke seluruh karyawan.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5.11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Pengembalian aset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Personel dan pihak eksternal lainnya harus mengembalikan semua aset organisasi yang menjadi milik mereka ketika mengubah atau mengakhiri pekerjaan, kontrak, atau perjanjian.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Prosedur offboarding mencakup pengembalian perangkat dan pencabutan akses, dikelola bersama IT dan HRD.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5.12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Klasifikasi informasi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Informasi harus diklasifikasikan berdasarkan kebutuhan keamanan informasi organisasi.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Kebijakan klasifikasi informasi (4 level: Rahasia, Internal, Terbatas, Publik) telah ditetapkan dalam ISMS-POL-001.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5.13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Pelabelan informasi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Seperangkat prosedur untuk pelabelan informasi yang sesuai harus dikembangkan dan diterapkan.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FFF9C4"/>
          </w:tcPr>
          <w:p>
            <w:r>
              <w:rPr>
                <w:b/>
                <w:color w:val="7B6A00"/>
                <w:sz w:val="16"/>
              </w:rPr>
              <w:t>P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Template dokumen dengan label klasifikasi sedang didistribusikan. Implementasi DLP untuk enforce pelabelan Q2 2026.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5.14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Transfer informasi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Aturan, prosedur, atau perjanjian transfer informasi harus ada untuk semua jenis fasilitas transfer.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Kebijakan transfer data (email, FTP aman, API) telah ditetapkan. Semua transfer data nasabah wajib terenkripsi.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5.15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Kontrol akses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Aturan untuk mengendalikan akses fisik dan logis ke informasi dan aset lain harus ditetapkan.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Access Control Policy berbasis RBAC dan need-to-know telah diterapkan. Review akses dilakukan setiap 6 bulan.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5.16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Manajemen identitas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Siklus hidup penuh identitas harus dikelola.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IAM (Identity and Access Management) dikelola oleh Tim IT. Proses provisioning, review, dan deprovisioning terdokumentasi.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5.17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Informasi autentikasi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Alokasi dan manajemen informasi autentikasi harus dikontrol oleh proses manajemen, termasuk memberi nasihat kepada personel tentang penanganan informasi autentikasi yang tepat.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Password policy (min 12 karakter, kompleks) telah diterapkan. MFA wajib untuk sistem kritis dan VPN.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5.18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Hak akses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Hak akses ke informasi dan aset lain yang terkait harus disediakan, ditinjau, dimodifikasi, dan dihapus.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Proses formal untuk request, approval, review, dan revokasi akses telah terdokumentasi dan berjalan.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5.19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Keamanan informasi dalam hubungan pemasok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Proses dan prosedur harus ditetapkan dan diterapkan untuk mengelola risiko keamanan informasi yang terkait dengan penggunaan produk atau layanan pemasok.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FFF9C4"/>
          </w:tcPr>
          <w:p>
            <w:r>
              <w:rPr>
                <w:b/>
                <w:color w:val="7B6A00"/>
                <w:sz w:val="16"/>
              </w:rPr>
              <w:t>P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Vendor security assessment framework sedang difinalkan. NDA dan klausul keamanan dalam semua kontrak baru sudah diterapkan.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5.20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Mengatasi keamanan informasi dalam perjanjian pemasok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Persyaratan keamanan informasi yang relevan harus ditetapkan dan disepakati dengan setiap pemasok berdasarkan jenis hubungan pemasok.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Template klausul keamanan informasi untuk kontrak pemasok telah ditetapkan dan digunakan untuk kontrak baru.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5.21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Mengelola keamanan informasi dalam rantai pasokan TIK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Proses dan prosedur harus ditetapkan dan diterapkan untuk mengelola risiko keamanan informasi yang terkait dengan rantai pasokan produk dan layanan TIK.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FFF9C4"/>
          </w:tcPr>
          <w:p>
            <w:r>
              <w:rPr>
                <w:b/>
                <w:color w:val="7B6A00"/>
                <w:sz w:val="16"/>
              </w:rPr>
              <w:t>P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Supply chain security assessment sedang dikembangkan untuk vendor TIK kritis. Target Q3 2026.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5.22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Pemantauan, tinjauan, dan manajemen perubahan layanan pemasok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Organisasi harus secara rutin memantau, meninjau, mengevaluasi, dan mengelola perubahan dalam praktik keamanan informasi pemasok.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FFF9C4"/>
          </w:tcPr>
          <w:p>
            <w:r>
              <w:rPr>
                <w:b/>
                <w:color w:val="7B6A00"/>
                <w:sz w:val="16"/>
              </w:rPr>
              <w:t>P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Proses review tahunan vendor keamanan sedang diformalkan. SLA monitoring untuk vendor kritis sudah berjalan.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5.23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Keamanan informasi untuk penggunaan layanan cloud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Proses untuk akuisisi, penggunaan, manajemen, dan keluar dari layanan cloud harus ditetapkan.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FFF9C4"/>
          </w:tcPr>
          <w:p>
            <w:r>
              <w:rPr>
                <w:b/>
                <w:color w:val="7B6A00"/>
                <w:sz w:val="16"/>
              </w:rPr>
              <w:t>P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Cloud Security Policy sedang dikembangkan. Inventarisasi layanan cloud yang digunakan sedang dilakukan. Target Q2 2026.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5.24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Perencanaan dan persiapan manajemen insiden keamanan informasi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Organisasi harus merencanakan dan mempersiapkan manajemen insiden keamanan informasi dengan menetapkan, mendokumentasikan, dan mengkomunikasikan proses.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Incident Response Plan (ISMS-IRP-001) telah ditetapkan. Tim CSIRT telah dibentuk dan dilatih.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5.25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Penilaian dan keputusan tentang kejadian keamanan informasi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Organisasi harus menilai kejadian keamanan informasi dan memutuskan apakah akan dikategorikan sebagai insiden.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Kriteria klasifikasi insiden (P1-P3) terdokumentasi. SOC bertanggung jawab atas triase insiden.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5.26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Respons terhadap insiden keamanan informasi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Insiden keamanan informasi harus ditanggapi sesuai dengan prosedur yang terdokumentasi.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Prosedur respons insiden terdokumentasi mencakup containment, eradication, recovery, dan post-incident review.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5.27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Belajar dari insiden keamanan informasi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Pengetahuan yang diperoleh dari insiden keamanan informasi harus digunakan untuk memperkuat dan meningkatkan kontrol keamanan informasi.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Proses post-incident review dan lessons learned terdokumentasi. Hasil dijadikan input perbaikan ISMS.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5.28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Pengumpulan bukti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Organisasi harus menetapkan dan menerapkan prosedur untuk identifikasi, pengumpulan, akuisisi, dan pelestarian bukti.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FFF9C4"/>
          </w:tcPr>
          <w:p>
            <w:r>
              <w:rPr>
                <w:b/>
                <w:color w:val="7B6A00"/>
                <w:sz w:val="16"/>
              </w:rPr>
              <w:t>P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Prosedur forensik digital sedang dikembangkan bekerja sama dengan konsultan eksternal. Target Q2 2026.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5.29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Keamanan informasi selama gangguan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Organisasi harus merencanakan bagaimana mempertahankan keamanan informasi pada tingkat yang sesuai selama gangguan.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Aspek keamanan informasi telah diintegrasikan ke dalam BCP dan DRP Perusahaan.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5.30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Kesiapan TIK untuk kelangsungan bisnis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Kesiapan TIK harus direncanakan, diterapkan, dipelihara, dan diuji berdasarkan tujuan kelangsungan bisnis.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IT BCP dan DRP terdokumentasi. DR test dilakukan setahun sekali di data center sekunder.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5.31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Persyaratan hukum, undang-undang, regulasi, dan kontraktual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Persyaratan hukum, undang-undang, regulasi, dan kontraktual yang relevan harus diidentifikasi, didokumentasikan, dan diperbarui.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Register kepatuhan regulasi dikelola oleh Departemen Kepatuhan. Mencakup OJK, UU PDP, UU Perasuransian.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5.32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Hak kekayaan intelektual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Organisasi harus menerapkan prosedur untuk melindungi hak kekayaan intelektual.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Kebijakan lisensi software diterapkan. Audit penggunaan software dilakukan tahunan.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5.33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Perlindungan catatan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Catatan harus dilindungi dari kehilangan, penghancuran, pemalsuan, akses tidak sah, dan pelepasan tidak sah.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Kebijakan retensi dan perlindungan catatan telah ditetapkan sesuai persyaratan OJK dan regulasi perpajakan.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5.34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Privasi dan perlindungan informasi yang dapat mengidentifikasi pribadi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Organisasi harus mengidentifikasi dan memenuhi persyaratan untuk pelestarian privasi dan perlindungan PII.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FFF9C4"/>
          </w:tcPr>
          <w:p>
            <w:r>
              <w:rPr>
                <w:b/>
                <w:color w:val="7B6A00"/>
                <w:sz w:val="16"/>
              </w:rPr>
              <w:t>P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Program DPO sedang diimplementasikan. Data mapping dan Privacy Impact Assessment untuk sistem kritis sedang dilakukan.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5.35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Tinjauan independen keamanan informasi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Pendekatan organisasi untuk mengelola keamanan informasi dan implementasinya harus ditinjau secara independen.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Audit internal ISMS dilakukan tahunan. Sertifikasi ISO 27001 oleh lembaga sertifikasi akreditasi dijadwalkan 2026.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5.36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Kepatuhan terhadap kebijakan dan standar keamanan informasi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Kepatuhan terhadap kebijakan keamanan informasi, aturan, dan standar harus ditinjau secara berkala.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Proses compliance review tahunan telah berjalan. Temuan ditindaklanjuti dan dilaporkan ke CISO.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5.37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Prosedur operasi yang terdokumentasi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Prosedur operasi untuk fasilitas pemrosesan informasi harus didokumentasikan dan tersedia bagi personel yang membutuhkan.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SOP untuk seluruh operasional TI kritis terdokumentasi di sistem manajemen dokumen internal.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1B6CA8"/>
          </w:tcPr>
          <w:p>
            <w:pPr>
              <w:spacing w:before="160" w:after="160"/>
            </w:pPr>
            <w:r>
              <w:rPr>
                <w:b/>
                <w:color w:val="FFFFFF"/>
                <w:sz w:val="26"/>
              </w:rPr>
              <w:t>TEMA 6: KONTROL SUMBER DAYA MANUSIA (People Controls) | 8 Kontrol | 6.1 - 6.8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val="clear" w:color="auto" w:fill="1B6CA8"/>
          </w:tcPr>
          <w:p>
            <w:r>
              <w:rPr>
                <w:b/>
                <w:color w:val="FFFFFF"/>
                <w:sz w:val="16"/>
              </w:rPr>
              <w:t>No. Kontrol</w:t>
            </w:r>
          </w:p>
        </w:tc>
        <w:tc>
          <w:tcPr>
            <w:tcW w:type="dxa" w:w="2523"/>
            <w:shd w:val="clear" w:color="auto" w:fill="1B6CA8"/>
          </w:tcPr>
          <w:p>
            <w:r>
              <w:rPr>
                <w:b/>
                <w:color w:val="FFFFFF"/>
                <w:sz w:val="16"/>
              </w:rPr>
              <w:t>Nama Kontrol</w:t>
            </w:r>
          </w:p>
        </w:tc>
        <w:tc>
          <w:tcPr>
            <w:tcW w:type="dxa" w:w="2523"/>
            <w:shd w:val="clear" w:color="auto" w:fill="1B6CA8"/>
          </w:tcPr>
          <w:p>
            <w:r>
              <w:rPr>
                <w:b/>
                <w:color w:val="FFFFFF"/>
                <w:sz w:val="16"/>
              </w:rPr>
              <w:t>Deskripsi Singkat</w:t>
            </w:r>
          </w:p>
        </w:tc>
        <w:tc>
          <w:tcPr>
            <w:tcW w:type="dxa" w:w="2523"/>
            <w:shd w:val="clear" w:color="auto" w:fill="1B6CA8"/>
          </w:tcPr>
          <w:p>
            <w:r>
              <w:rPr>
                <w:b/>
                <w:color w:val="FFFFFF"/>
                <w:sz w:val="16"/>
              </w:rPr>
              <w:t>Berlaku?</w:t>
            </w:r>
          </w:p>
        </w:tc>
        <w:tc>
          <w:tcPr>
            <w:tcW w:type="dxa" w:w="2523"/>
            <w:shd w:val="clear" w:color="auto" w:fill="1B6CA8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23"/>
            <w:shd w:val="clear" w:color="auto" w:fill="1B6CA8"/>
          </w:tcPr>
          <w:p>
            <w:r>
              <w:rPr>
                <w:b/>
                <w:color w:val="FFFFFF"/>
                <w:sz w:val="16"/>
              </w:rPr>
              <w:t>Justifikasi &amp; Catatan Implementasi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6.1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Pemeriksaan latar belakang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Pemeriksaan latar belakang terhadap semua calon karyawan harus dilakukan sebelum bergabung dengan organisasi.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Background check (riwayat kriminal, verifikasi pendidikan, referensi) wajib untuk semua calon karyawan. Lebih ketat untuk posisi yang menangani data sensitif.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6.2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Syarat dan ketentuan pekerjaan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Perjanjian kontrak kerja harus menyebutkan tanggung jawab personel dan organisasi untuk keamanan informasi.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Kontrak kerja mencakup klausul NDA, kewajiban menjaga kerahasiaan, dan konsekuensi pelanggaran. Berlaku juga untuk kontraktor dan vendor.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6.3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Kesadaran, pendidikan, dan pelatihan keamanan informasi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Personel organisasi dan pihak eksternal yang relevan harus menerima kesadaran, pendidikan, dan pelatihan keamanan informasi.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FFF9C4"/>
          </w:tcPr>
          <w:p>
            <w:r>
              <w:rPr>
                <w:b/>
                <w:color w:val="7B6A00"/>
                <w:sz w:val="16"/>
              </w:rPr>
              <w:t>P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Program pelatihan kesadaran keamanan tahunan sedang dikembangkan. Orientasi keamanan untuk karyawan baru sudah berjalan. Platform e-learning dalam implementasi.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6.4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Proses disipliner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Proses disipliner harus diformalkan dan dikomunikasikan untuk mengambil tindakan terhadap personel yang melakukan pelanggaran kebijakan keamanan informasi.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Prosedur disipliner untuk pelanggaran keamanan informasi telah diintegrasikan ke dalam Peraturan Perusahaan dan dikomunikasikan ke seluruh karyawan.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6.5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Tanggung jawab setelah pengakhiran atau perubahan pekerjaan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Tanggung jawab dan kewajiban keamanan informasi yang tetap berlaku setelah pengakhiran atau perubahan pekerjaan harus didefinisikan.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Klausul post-employment confidentiality dalam kontrak kerja. Proses offboarding mencakup pencabutan akses dan penandatanganan pernyataan kerahasiaan.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6.6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Perjanjian kerahasiaan atau non-pengungkapan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Perjanjian kerahasiaan atau non-pengungkapan yang mencerminkan kebutuhan organisasi untuk perlindungan informasi harus diidentifikasi.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NDA standar ditandatangani oleh semua karyawan, kontraktor, dan mitra bisnis. Template NDA dikelola oleh Legal dengan input dari CISO.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6.7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Kerja jarak jauh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Tindakan keamanan harus diterapkan ketika personel bekerja dari jarak jauh.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Remote Work Security Policy telah ditetapkan. Wajib VPN, MFA, enkripsi perangkat. Penggunaan jaringan publik tanpa VPN dilarang.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6.8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Pelaporan kejadian keamanan informasi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Organisasi harus menyediakan mekanisme bagi personel untuk melaporkan kejadian keamanan informasi.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Kanal pelaporan insiden tersedia: helpdesk IT, email khusus security@equitylife.co.id, dan hotline CISO. Budaya no-blame reporting dipromosikan.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0B5345"/>
          </w:tcPr>
          <w:p>
            <w:pPr>
              <w:spacing w:before="160" w:after="160"/>
            </w:pPr>
            <w:r>
              <w:rPr>
                <w:b/>
                <w:color w:val="FFFFFF"/>
                <w:sz w:val="26"/>
              </w:rPr>
              <w:t>TEMA 7: KONTROL FISIK (Physical Controls) | 14 Kontrol | 7.1 - 7.14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val="clear" w:color="auto" w:fill="0B5345"/>
          </w:tcPr>
          <w:p>
            <w:r>
              <w:rPr>
                <w:b/>
                <w:color w:val="FFFFFF"/>
                <w:sz w:val="16"/>
              </w:rPr>
              <w:t>No. Kontrol</w:t>
            </w:r>
          </w:p>
        </w:tc>
        <w:tc>
          <w:tcPr>
            <w:tcW w:type="dxa" w:w="2523"/>
            <w:shd w:val="clear" w:color="auto" w:fill="0B5345"/>
          </w:tcPr>
          <w:p>
            <w:r>
              <w:rPr>
                <w:b/>
                <w:color w:val="FFFFFF"/>
                <w:sz w:val="16"/>
              </w:rPr>
              <w:t>Nama Kontrol</w:t>
            </w:r>
          </w:p>
        </w:tc>
        <w:tc>
          <w:tcPr>
            <w:tcW w:type="dxa" w:w="2523"/>
            <w:shd w:val="clear" w:color="auto" w:fill="0B5345"/>
          </w:tcPr>
          <w:p>
            <w:r>
              <w:rPr>
                <w:b/>
                <w:color w:val="FFFFFF"/>
                <w:sz w:val="16"/>
              </w:rPr>
              <w:t>Deskripsi Singkat</w:t>
            </w:r>
          </w:p>
        </w:tc>
        <w:tc>
          <w:tcPr>
            <w:tcW w:type="dxa" w:w="2523"/>
            <w:shd w:val="clear" w:color="auto" w:fill="0B5345"/>
          </w:tcPr>
          <w:p>
            <w:r>
              <w:rPr>
                <w:b/>
                <w:color w:val="FFFFFF"/>
                <w:sz w:val="16"/>
              </w:rPr>
              <w:t>Berlaku?</w:t>
            </w:r>
          </w:p>
        </w:tc>
        <w:tc>
          <w:tcPr>
            <w:tcW w:type="dxa" w:w="2523"/>
            <w:shd w:val="clear" w:color="auto" w:fill="0B5345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23"/>
            <w:shd w:val="clear" w:color="auto" w:fill="0B5345"/>
          </w:tcPr>
          <w:p>
            <w:r>
              <w:rPr>
                <w:b/>
                <w:color w:val="FFFFFF"/>
                <w:sz w:val="16"/>
              </w:rPr>
              <w:t>Justifikasi &amp; Catatan Implementasi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7.1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Perimeter keamanan fisik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Perimeter keamanan harus ditetapkan dan digunakan untuk melindungi area yang berisi informasi dan aset terkait.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Kantor pusat dan data center memiliki perimeter keamanan berlapis: pagar, resepsionis, akses kartu, dan CCTV. Zona keamanan dibagi berdasarkan tingkat sensitivitas.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7.2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Kontrol masuk fisik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Area aman harus dilindungi oleh kontrol masuk yang sesuai dan titik akses.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Sistem akses kartu (RFID) diterapkan di semua area. Data center memerlukan kartu akses + PIN. Log akses fisik dicatat dan ditinjau bulanan.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7.3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Mengamankan kantor, ruangan, dan fasilitas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Keamanan fisik untuk kantor, ruangan, dan fasilitas harus dirancang dan diterapkan.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Prosedur keamanan kantor ditetapkan: kunci, alarm, CCTV, clean desk policy. Ruangan server dan area kritis dilindungi ekstra.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7.4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Pemantauan keamanan fisik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Instalasi harus dipantau terus-menerus untuk akses fisik yang tidak sah.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CCTV beroperasi 24/7 di seluruh area fasilitas. Security guard berjaga sepanjang waktu. Rekaman CCTV disimpan minimal 90 hari.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7.5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Perlindungan terhadap ancaman fisik dan lingkungan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Perlindungan terhadap ancaman fisik dan lingkungan harus dirancang dan diterapkan.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Data center dilengkapi fire suppression system, UPS, precision AC, deteksi banjir/air. Generator cadangan untuk pemadaman listrik.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7.6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Bekerja di area aman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Tindakan keamanan untuk bekerja di area aman harus dirancang dan diterapkan.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Prosedur bekerja di area kritis (data center, ruang server) terdokumentasi. Dilarang membawa perangkat kamera/HP tanpa izin. Akses tamu selalu didampingi.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7.7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Meja bersih dan layar bersih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Aturan meja bersih untuk kertas dan media penyimpanan yang dapat dipindahkan dan aturan layar bersih untuk fasilitas pemrosesan informasi harus ditetapkan dan diterapkan.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FFF9C4"/>
          </w:tcPr>
          <w:p>
            <w:r>
              <w:rPr>
                <w:b/>
                <w:color w:val="7B6A00"/>
                <w:sz w:val="16"/>
              </w:rPr>
              <w:t>P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Clean desk policy telah diterbitkan. Sosialisasi dan penegakan sedang ditingkatkan. Screen lock otomatis setelah 5 menit tidak aktif sudah diterapkan.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7.8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Penempatan dan perlindungan peralatan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Peralatan harus ditempatkan dengan aman dan dilindungi.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Server dan peralatan jaringan kritis ditempatkan di data center terproteksi. Peralatan di area kantor diikat/diamankan sesuai kebijakan.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7.9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Keamanan aset di luar premis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Aset di luar premis harus dilindungi.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Kebijakan penggunaan perangkat di luar kantor diterapkan. Enkripsi disk penuh wajib untuk semua laptop. MDM untuk perangkat mobile.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7.10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Media penyimpanan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Media penyimpanan harus dikelola melalui siklus hidupnya sesuai dengan skema klasifikasi dan persyaratan penanganan organisasi.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Prosedur pengelolaan media penyimpanan mencakup pelabelan, penanganan, penyimpanan, dan pembuangan aman (shredding/degaussing).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7.11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Utilitas pendukung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Fasilitas pemrosesan informasi harus dilindungi dari kegagalan daya dan gangguan lain yang disebabkan oleh kegagalan utilitas pendukung.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UPS dan generator tersedia di data center. Perjanjian SLA dengan PLN untuk prioritas pemulihan. Uji generator dilakukan bulanan.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7.12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Keamanan kabel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Kabel yang membawa daya atau transmisi data atau mendukung layanan informasi harus dilindungi dari intersepsi, gangguan, atau kerusakan.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Kabel jaringan dan listrik di data center terlindungi dalam cable tray tertutup. Rute kabel terdokumentasi. Kabel luar ruangan menggunakan conduit.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7.13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Pemeliharaan peralatan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Peralatan harus dipelihara dengan benar untuk memastikan ketersediaan, integritas, dan kerahasiaan yang berkelanjutan.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Jadwal maintenance preventif untuk semua peralatan kritis terdokumentasi. Hanya teknisi terotorisasi yang dapat melakukan maintenance.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7.14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Pembuangan atau penggunaan kembali peralatan yang aman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Item peralatan yang mengandung media penyimpanan harus diverifikasi untuk memastikan bahwa data sensitif dan perangkat lunak berlisensi telah dihapus atau ditimpa dengan aman.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Prosedur sanitasi data (NIST 800-88) diterapkan sebelum peralatan dibuang atau digunakan kembali. Sertifikat penghapusan data disimpan sebagai bukti.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7B0D1E"/>
          </w:tcPr>
          <w:p>
            <w:pPr>
              <w:spacing w:before="160" w:after="160"/>
            </w:pPr>
            <w:r>
              <w:rPr>
                <w:b/>
                <w:color w:val="FFFFFF"/>
                <w:sz w:val="26"/>
              </w:rPr>
              <w:t>TEMA 8: KONTROL TEKNOLOGI (Technological Controls) | 34 Kontrol | 8.1 - 8.34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val="clear" w:color="auto" w:fill="7B0D1E"/>
          </w:tcPr>
          <w:p>
            <w:r>
              <w:rPr>
                <w:b/>
                <w:color w:val="FFFFFF"/>
                <w:sz w:val="16"/>
              </w:rPr>
              <w:t>No. Kontrol</w:t>
            </w:r>
          </w:p>
        </w:tc>
        <w:tc>
          <w:tcPr>
            <w:tcW w:type="dxa" w:w="2523"/>
            <w:shd w:val="clear" w:color="auto" w:fill="7B0D1E"/>
          </w:tcPr>
          <w:p>
            <w:r>
              <w:rPr>
                <w:b/>
                <w:color w:val="FFFFFF"/>
                <w:sz w:val="16"/>
              </w:rPr>
              <w:t>Nama Kontrol</w:t>
            </w:r>
          </w:p>
        </w:tc>
        <w:tc>
          <w:tcPr>
            <w:tcW w:type="dxa" w:w="2523"/>
            <w:shd w:val="clear" w:color="auto" w:fill="7B0D1E"/>
          </w:tcPr>
          <w:p>
            <w:r>
              <w:rPr>
                <w:b/>
                <w:color w:val="FFFFFF"/>
                <w:sz w:val="16"/>
              </w:rPr>
              <w:t>Deskripsi Singkat</w:t>
            </w:r>
          </w:p>
        </w:tc>
        <w:tc>
          <w:tcPr>
            <w:tcW w:type="dxa" w:w="2523"/>
            <w:shd w:val="clear" w:color="auto" w:fill="7B0D1E"/>
          </w:tcPr>
          <w:p>
            <w:r>
              <w:rPr>
                <w:b/>
                <w:color w:val="FFFFFF"/>
                <w:sz w:val="16"/>
              </w:rPr>
              <w:t>Berlaku?</w:t>
            </w:r>
          </w:p>
        </w:tc>
        <w:tc>
          <w:tcPr>
            <w:tcW w:type="dxa" w:w="2523"/>
            <w:shd w:val="clear" w:color="auto" w:fill="7B0D1E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23"/>
            <w:shd w:val="clear" w:color="auto" w:fill="7B0D1E"/>
          </w:tcPr>
          <w:p>
            <w:r>
              <w:rPr>
                <w:b/>
                <w:color w:val="FFFFFF"/>
                <w:sz w:val="16"/>
              </w:rPr>
              <w:t>Justifikasi &amp; Catatan Implementasi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8.1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Perangkat endpoint pengguna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Informasi yang disimpan, diproses, atau dapat diakses melalui perangkat endpoint pengguna harus dilindungi.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MDM (Mobile Device Management) diterapkan untuk semua perangkat korporat. Enkripsi disk penuh, remote wipe, dan EDR/XDR dipasang di semua endpoint.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8.2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Hak akses istimewa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Alokasi dan penggunaan hak akses istimewa harus dibatasi dan dikelola.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FFF9C4"/>
          </w:tcPr>
          <w:p>
            <w:r>
              <w:rPr>
                <w:b/>
                <w:color w:val="7B6A00"/>
                <w:sz w:val="16"/>
              </w:rPr>
              <w:t>P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PAM (Privileged Access Management) solution sedang dalam proses pengadaan. Sementara, admin accounts dipisah dari user accounts, dan penggunaannya dilog.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8.3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Pembatasan akses informasi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Akses ke informasi dan aset terkait lainnya harus dibatasi sesuai dengan kebijakan kontrol akses yang ditetapkan.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RBAC diterapkan di semua sistem. Hak akses berdasarkan jabatan/fungsi. Akses ke data nasabah dibatasi dengan ketat berdasarkan need-to-know.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8.4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Akses ke kode sumber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Akses baca dan tulis ke kode sumber, alat pengembangan, dan pustaka perangkat lunak harus dikelola dengan tepat.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Repository kode sumber (Git) dengan kontrol akses berbasis peran. Hanya developer yang terlibat yang dapat mengakses. Code review wajib sebelum merge.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8.5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Autentikasi aman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Teknologi dan prosedur autentikasi aman harus diterapkan berdasarkan pembatasan akses informasi.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MFA wajib untuk semua akses sistem kritis, VPN, dan email. FIDO2/TOTP digunakan sebagai faktor kedua. Password manager direkomendasikan.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8.6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Manajemen kapasitas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Penggunaan sumber daya harus dipantau dan disesuaikan, dan proyeksi kebutuhan kapasitas masa depan harus dibuat.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Capacity planning dilakukan tahunan. Monitoring kapasitas (CPU, storage, bandwidth) otomatis dengan alerting. Auto-scaling untuk layanan cloud.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8.7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Perlindungan terhadap malware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Perlindungan terhadap malware harus diterapkan dan didukung oleh kesadaran pengguna yang tepat.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EDR/XDR enterprise diterapkan di semua endpoint dan server. Update signature otomatis. Pemindaian terjadwal dan real-time aktif.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8.8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Manajemen kerentanan teknis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Informasi tentang kerentanan teknis sistem informasi yang digunakan harus diperoleh, paparan terhadap kerentanan tersebut dievaluasi, dan langkah-langkah yang tepat diambil.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FFF9C4"/>
          </w:tcPr>
          <w:p>
            <w:r>
              <w:rPr>
                <w:b/>
                <w:color w:val="7B6A00"/>
                <w:sz w:val="16"/>
              </w:rPr>
              <w:t>P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Vulnerability scanner (Tenable/Qualys) sedang dalam implementasi. Patch management process untuk Windows sudah berjalan. Scope diperluas ke Linux dan network devices Q2 2026.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8.9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Manajemen konfigurasi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Konfigurasi, termasuk konfigurasi keamanan, dari perangkat keras, perangkat lunak, layanan, dan jaringan harus ditetapkan, didokumentasikan, diterapkan, dipantau, dan ditinjau.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FFF9C4"/>
          </w:tcPr>
          <w:p>
            <w:r>
              <w:rPr>
                <w:b/>
                <w:color w:val="7B6A00"/>
                <w:sz w:val="16"/>
              </w:rPr>
              <w:t>P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Baseline konfigurasi keamanan (CIS Benchmarks) untuk Windows Server dan network devices sedang diterapkan. CMDB dalam proses pembaruan. Target Q2 2026.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8.10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Penghapusan informasi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Informasi yang disimpan dalam sistem informasi, perangkat, atau di media penyimpanan lainnya harus dihapus ketika tidak lagi diperlukan.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Data retention policy dan schedule penghapusan data terdokumentasi. Proses penghapusan aman mengikuti NIST 800-88 untuk media fisik.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8.11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Masking data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Masking data harus digunakan sesuai dengan kebijakan kontrol akses dan persyaratan bisnis lainnya, berdasarkan pada pertimbangan legislatif yang berlaku.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FFF9C4"/>
          </w:tcPr>
          <w:p>
            <w:r>
              <w:rPr>
                <w:b/>
                <w:color w:val="7B6A00"/>
                <w:sz w:val="16"/>
              </w:rPr>
              <w:t>P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Data masking diterapkan di lingkungan non-produksi (development, testing). Implementasi dynamic data masking untuk query ad-hoc sedang dievaluasi.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8.12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Pencegahan kebocoran data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Langkah-langkah pencegahan kebocoran data harus diterapkan pada sistem, jaringan, dan perangkat apa pun yang memproses, menyimpan, atau mengirimkan informasi sensitif.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FFF9C4"/>
          </w:tcPr>
          <w:p>
            <w:r>
              <w:rPr>
                <w:b/>
                <w:color w:val="7B6A00"/>
                <w:sz w:val="16"/>
              </w:rPr>
              <w:t>P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DLP solution sedang dalam tahap proof-of-concept. Sementara, kebijakan transfer data dan monitoring manual diterapkan. Target DLP production Q2 2026.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8.13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Pencadangan informasi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Salinan cadangan informasi, perangkat lunak, dan sistem harus dipelihara dan secara teratur diuji sesuai dengan kebijakan pencadangan yang disepakati.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Backup 3-2-1 strategy diterapkan (3 salinan, 2 media berbeda, 1 offsite). Verifikasi integritas backup otomatis. Restore test dilakukan triwulan.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8.14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Redundansi fasilitas pemrosesan informasi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Fasilitas pemrosesan informasi harus diterapkan dengan redundansi yang cukup untuk memenuhi persyaratan ketersediaan.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Sistem kritis menggunakan konfigurasi high-availability (HA) aktif-aktif atau aktif-pasif. Dual ISP untuk konektivitas internet. Geo-redundant data center.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8.15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Pencatatan log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Log yang merekam aktivitas, pengecualian, kesalahan, dan kejadian keamanan informasi lainnya harus diproduksi, disimpan, dilindungi, dan dianalisis.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FFF9C4"/>
          </w:tcPr>
          <w:p>
            <w:r>
              <w:rPr>
                <w:b/>
                <w:color w:val="7B6A00"/>
                <w:sz w:val="16"/>
              </w:rPr>
              <w:t>P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SIEM (Security Information and Event Management) sedang dalam tuning dan konfigurasi. Log dari sistem kritis sudah terpusat di SIEM. Coverage sedang diperluas.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8.16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Aktivitas pemantauan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Jaringan, sistem, dan aplikasi harus dipantau untuk perilaku anomali dan tindakan yang tepat diambil untuk mengevaluasi potensi insiden keamanan informasi.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FFF9C4"/>
          </w:tcPr>
          <w:p>
            <w:r>
              <w:rPr>
                <w:b/>
                <w:color w:val="7B6A00"/>
                <w:sz w:val="16"/>
              </w:rPr>
              <w:t>P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SOC beroperasi 8/5 sementara sedang dalam transisi ke 24/7. Alerting otomatis dari SIEM untuk anomali. NDR sedang dievaluasi.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8.17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Sinkronisasi jam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Jam dari setiap sistem pemrosesan informasi yang digunakan oleh organisasi harus disinkronkan dengan sumber waktu referensi yang disetujui.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NTP (Network Time Protocol) terpusat dikonfigurasi di semua server dan perangkat jaringan. Sinkronisasi dengan stratum-1 NTP server.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8.18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Penggunaan program utilitas istimewa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Penggunaan program utilitas yang mungkin mampu mengganti kontrol sistem dan aplikasi harus dibatasi dan dipantau.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Penggunaan utilitas istimewa (debug tools, network sniffers) dibatasi hanya untuk administrator yang terotorisasi. Penggunaan dicatat dalam log audit.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8.19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Instalasi perangkat lunak pada sistem operasional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Prosedur dan langkah-langkah harus diterapkan untuk mengontrol dengan aman instalasi perangkat lunak pada sistem operasional.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Software whitelisting diterapkan. Hanya software yang telah disetujui IT yang dapat diinstall. Proses request software melalui ticketing system.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8.20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Keamanan jaringan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Jaringan dan perangkat jaringan harus diamankan, dikelola, dan dikendalikan untuk melindungi informasi dalam sistem dan aplikasi.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Firewall enterprise (next-gen), IDS/IPS, network segmentation (DMZ, internal, production) telah diterapkan. Review ruleset firewall dilakukan tahunan.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8.21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Keamanan layanan jaringan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Mekanisme keamanan, tingkat layanan, dan persyaratan layanan jaringan harus diidentifikasi, diterapkan, dan dipantau.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SLA jaringan dengan ISP dan penyedia layanan lainnya mencakup persyaratan keamanan. Monitoring kualitas jaringan 24/7.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8.22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Segregasi jaringan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Kelompok layanan informasi, pengguna, dan sistem informasi harus dipisahkan dalam jaringan organisasi.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Segmentasi jaringan (VLAN) diterapkan: zona produksi, pengembangan, kantor, tamu, dan DMZ. Akses antar zona dikontrol oleh firewall.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8.23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Penyaringan web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Akses ke situs web eksternal harus dikelola untuk mengurangi paparan terhadap konten berbahaya.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Web proxy dengan URL filtering diterapkan. Kategori situs berbahaya, dewasa, dan gaming diblokir. HTTPS inspection aktif untuk domain yang berisiko.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8.24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Penggunaan kriptografi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Aturan penggunaan kriptografi, termasuk manajemen kunci kriptografi, harus ditetapkan dan diterapkan.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Kebijakan kriptografi menetapkan standar minimum: AES-256 untuk enkripsi data, TLS 1.2+ untuk data in transit, SHA-256 untuk hashing. Kunci dikelola oleh HSM.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8.25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Siklus hidup pengembangan yang aman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Aturan untuk pengembangan yang aman dari perangkat lunak dan sistem harus ditetapkan dan diterapkan.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FFF9C4"/>
          </w:tcPr>
          <w:p>
            <w:r>
              <w:rPr>
                <w:b/>
                <w:color w:val="7B6A00"/>
                <w:sz w:val="16"/>
              </w:rPr>
              <w:t>P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Secure SDLC framework (OWASP) sedang diterapkan. Security requirements wajib dalam fase desain. SAST dan DAST dalam CI/CD pipeline sedang implementasi.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8.26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Persyaratan keamanan aplikasi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Persyaratan keamanan informasi harus diidentifikasi, ditentukan, dan disetujui saat mengembangkan atau memperoleh aplikasi.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Template security requirements untuk pengembangan aplikasi baru telah tersedia. Security review wajib sebelum aplikasi naik ke produksi.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8.27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Arsitektur yang aman dan prinsip rekayasa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Prinsip untuk rekayasa sistem yang aman harus ditetapkan, didokumentasikan, dipelihara, dan diterapkan pada setiap kegiatan rekayasa sistem informasi.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FFF9C4"/>
          </w:tcPr>
          <w:p>
            <w:r>
              <w:rPr>
                <w:b/>
                <w:color w:val="7B6A00"/>
                <w:sz w:val="16"/>
              </w:rPr>
              <w:t>P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Secure architecture principles (defense in depth, least privilege, zero trust) sedang diintegrasikan ke dalam standar arsitektur IT Perusahaan. Target Q3 2026.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8.28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Pengkodean yang aman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Prinsip pengkodean yang aman harus diterapkan pada pengembangan perangkat lunak.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FFF9C4"/>
          </w:tcPr>
          <w:p>
            <w:r>
              <w:rPr>
                <w:b/>
                <w:color w:val="7B6A00"/>
                <w:sz w:val="16"/>
              </w:rPr>
              <w:t>P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Secure coding standards (OWASP Top 10) didistribusikan ke tim developer. Pelatihan secure coding wajib untuk semua developer Q1 2026.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8.29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Pengujian keamanan dalam pengembangan dan penerimaan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Proses pengujian keamanan harus ditetapkan dan diterapkan dalam siklus hidup pengembangan.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FFF9C4"/>
          </w:tcPr>
          <w:p>
            <w:r>
              <w:rPr>
                <w:b/>
                <w:color w:val="7B6A00"/>
                <w:sz w:val="16"/>
              </w:rPr>
              <w:t>P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Security testing checklist untuk UAT telah dibuat. Penetration testing oleh pihak ketiga dijadwalkan tahunan. DAST sedang dalam implementasi.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8.30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Pengembangan yang dioutsource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Organisasi harus mengarahkan, memantau, dan meninjau aktivitas yang terkait dengan pengembangan sistem yang dioutsource.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Klausul keamanan (secure coding, code review, security testing, NDA) wajib dalam kontrak vendor pengembangan software. Kode sumber diserahkan dan direview sebelum go-live.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8.31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Pemisahan lingkungan pengembangan, pengujian, dan produksi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Lingkungan pengembangan, pengujian, dan produksi harus dipisahkan dan diamankan.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Tiga lingkungan terpisah (DEV, UAT, PROD) dengan akses yang berbeda. Data produksi tidak boleh digunakan di DEV/UAT tanpa proses masking terlebih dahulu.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8.32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Manajemen perubahan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Perubahan pada fasilitas pemrosesan informasi dan sistem informasi harus tunduk pada prosedur manajemen perubahan.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Change Management process (RFC, review CAB, approval, implementasi, rollback plan) telah berjalan. Emergency change process terdokumentasi.</w:t>
            </w:r>
          </w:p>
        </w:tc>
      </w:tr>
      <w:tr>
        <w:tc>
          <w:tcPr>
            <w:tcW w:type="dxa" w:w="2523"/>
            <w:shd w:val="clear" w:color="auto" w:fill="DEEAF1"/>
          </w:tcPr>
          <w:p>
            <w:r>
              <w:rPr>
                <w:b/>
                <w:color w:val="1F497D"/>
                <w:sz w:val="16"/>
              </w:rPr>
              <w:t>8.33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Informasi pengujian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Informasi pengujian harus dipilih dengan tepat, dilindungi, dan dikelola.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DEEAF1"/>
          </w:tcPr>
          <w:p>
            <w:r>
              <w:rPr>
                <w:sz w:val="16"/>
              </w:rPr>
              <w:t>Data pengujian menggunakan data yang di-mask atau data sintetis. Dilarang menggunakan data produksi asli nasabah untuk pengujian.</w:t>
            </w:r>
          </w:p>
        </w:tc>
      </w:tr>
      <w:tr>
        <w:tc>
          <w:tcPr>
            <w:tcW w:type="dxa" w:w="2523"/>
            <w:shd w:val="clear" w:color="auto" w:fill="F2F7FB"/>
          </w:tcPr>
          <w:p>
            <w:r>
              <w:rPr>
                <w:b/>
                <w:color w:val="1F497D"/>
                <w:sz w:val="16"/>
              </w:rPr>
              <w:t>8.34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Perlindungan sistem informasi selama pengujian audit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Pengujian audit dan aktivitas pemastian lainnya yang melibatkan penilaian sistem operasional harus direncanakan dan disepakati antara pemohon dan manajemen yang tepat.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2523"/>
            <w:shd w:val="clear" w:color="auto" w:fill="C8E6C9"/>
          </w:tcPr>
          <w:p>
            <w:r>
              <w:rPr>
                <w:b/>
                <w:color w:val="1B5E20"/>
                <w:sz w:val="16"/>
              </w:rPr>
              <w:t>Y</w:t>
            </w:r>
          </w:p>
        </w:tc>
        <w:tc>
          <w:tcPr>
            <w:tcW w:type="dxa" w:w="2523"/>
            <w:shd w:val="clear" w:color="auto" w:fill="F2F7FB"/>
          </w:tcPr>
          <w:p>
            <w:r>
              <w:rPr>
                <w:sz w:val="16"/>
              </w:rPr>
              <w:t>Prosedur audit IT telah ditetapkan. Auditor menggunakan akun read-only khusus. Scope dan jadwal audit disepakati sebelumnya untuk meminimalkan gangguan.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/>
      <w:pgMar w:top="1134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PT Equity Life Indonesia  |  ISMS-SOA-001  |  Februari 2026  |  RAHASIA -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497D"/>
        <w:sz w:val="16"/>
      </w:rPr>
      <w:t>PT Equity Life Indonesia  |  Pernyataan Penerapan (Statement of Applicability)  |  ISMS-SOA-001  |  Versi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