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03269"/>
        <w:spacing w:before="0" w:after="0"/>
        <w:jc w:val="left"/>
      </w:pPr>
      <w:r>
        <w:rPr>
          <w:b/>
          <w:color w:val="FFFFFF"/>
          <w:sz w:val="22"/>
        </w:rPr>
        <w:t xml:space="preserve">  PT EQUITY LIFE INDONESIA</w:t>
      </w:r>
    </w:p>
    <w:p/>
    <w:p/>
    <w:p>
      <w:pPr>
        <w:jc w:val="center"/>
      </w:pPr>
      <w:r>
        <w:rPr>
          <w:b/>
          <w:color w:val="007A8A"/>
          <w:sz w:val="32"/>
        </w:rPr>
        <w:t>MODUL 1</w:t>
      </w:r>
    </w:p>
    <w:p>
      <w:pPr>
        <w:spacing w:before="240"/>
        <w:jc w:val="center"/>
      </w:pPr>
      <w:r>
        <w:rPr>
          <w:b/>
          <w:color w:val="00326B"/>
          <w:sz w:val="64"/>
        </w:rPr>
        <w:t>CYBERSECURITY AWARENESS</w:t>
      </w:r>
    </w:p>
    <w:p>
      <w:pPr>
        <w:jc w:val="center"/>
      </w:pPr>
      <w:r>
        <w:rPr>
          <w:b w:val="0"/>
          <w:color w:val="007A8A"/>
          <w:sz w:val="36"/>
        </w:rPr>
        <w:t>Pengantar &amp; Dasar-Dasar Keamanan Siber</w:t>
      </w:r>
    </w:p>
    <w:p/>
    <w:p/>
    <w:p>
      <w:pPr>
        <w:jc w:val="center"/>
        <w:pBdr>
          <w:bottom w:val="single" w:sz="12" w:color="007A8A"/>
        </w:pBdr>
      </w:pPr>
    </w:p>
    <w:p/>
    <w:p>
      <w:pPr>
        <w:jc w:val="center"/>
      </w:pPr>
      <w:r>
        <w:rPr>
          <w:i/>
          <w:color w:val="1A1A2E"/>
          <w:sz w:val="26"/>
        </w:rPr>
        <w:t>"Keamanan informasi adalah tanggung jawab kita bersama"</w:t>
      </w:r>
    </w:p>
    <w:p/>
    <w:p/>
    <w:p/>
    <w:p/>
    <w:p/>
    <w:p/>
    <w:p/>
    <w:tbl>
      <w:tblPr>
        <w:tblW w:type="auto" w:w="0"/>
        <w:tblBorders>
          <w:top w:val="none"/>
          <w:left w:val="none"/>
          <w:bottom w:val="none"/>
          <w:right w:val="none"/>
          <w:insideH w:val="none"/>
          <w:insideV w:val="none"/>
        </w:tblBorders>
        <w:tblLook w:firstColumn="1" w:firstRow="1" w:lastColumn="0" w:lastRow="0" w:noHBand="0" w:noVBand="1" w:val="04A0"/>
      </w:tblPr>
      <w:tblGrid>
        <w:gridCol w:w="4536"/>
        <w:gridCol w:w="4536"/>
      </w:tblGrid>
      <w:tr>
        <w:tc>
          <w:tcPr>
            <w:tcW w:type="dxa" w:w="4536"/>
          </w:tcPr>
          <w:p>
            <w:pPr>
              <w:jc w:val="left"/>
            </w:pPr>
            <w:r>
              <w:rPr>
                <w:color w:val="555555"/>
                <w:sz w:val="20"/>
              </w:rPr>
              <w:t>Departemen IT - Information Security</w:t>
              <w:br/>
              <w:t>PT Equity Life Indonesia</w:t>
            </w:r>
          </w:p>
        </w:tc>
        <w:tc>
          <w:tcPr>
            <w:tcW w:type="dxa" w:w="4536"/>
          </w:tcPr>
          <w:p>
            <w:pPr>
              <w:jc w:val="right"/>
            </w:pPr>
            <w:r>
              <w:rPr>
                <w:color w:val="555555"/>
                <w:sz w:val="20"/>
              </w:rPr>
              <w:t>Tahun 2025</w:t>
              <w:br/>
              <w:t>Versi 1.0</w:t>
            </w:r>
          </w:p>
        </w:tc>
      </w:tr>
    </w:tbl>
    <w:p>
      <w:r>
        <w:br w:type="page"/>
      </w:r>
    </w:p>
    <w:p>
      <w:pPr>
        <w:pStyle w:val="Heading1"/>
      </w:pPr>
      <w:r>
        <w:rPr>
          <w:b/>
          <w:color w:val="00326B"/>
          <w:sz w:val="40"/>
        </w:rPr>
        <w:t>1. Apa Itu Cybersecurity?</w:t>
      </w:r>
    </w:p>
    <w:p>
      <w:pPr>
        <w:pBdr>
          <w:bottom w:val="single" w:sz="6" w:space="1" w:color="007A8A"/>
        </w:pBdr>
        <w:spacing w:after="80"/>
      </w:pPr>
    </w:p>
    <w:p>
      <w:pPr>
        <w:spacing w:before="0" w:after="160"/>
        <w:jc w:val="both"/>
      </w:pPr>
      <w:r>
        <w:rPr>
          <w:b w:val="0"/>
          <w:sz w:val="22"/>
        </w:rPr>
        <w:t>Cybersecurity (Keamanan Siber) adalah praktik melindungi sistem komputer, jaringan, perangkat, program, dan data dari serangan digital, kerusakan, atau akses tidak sah. Di era digital seperti sekarang, hampir seluruh proses bisnis perusahaan asuransi berjalan di atas infrastruktur digital—mulai dari data polis nasabah, klaim, hingga laporan keuangan. Melindungi semua aset digital ini adalah inti dari cybersecurity.</w:t>
      </w:r>
    </w:p>
    <w:p>
      <w:pPr>
        <w:pStyle w:val="Heading2"/>
      </w:pPr>
      <w:r>
        <w:rPr>
          <w:b/>
          <w:color w:val="007A8A"/>
          <w:sz w:val="30"/>
        </w:rPr>
        <w:t>Tiga Pilar Utama Keamanan Informasi (CIA Triad)</w:t>
      </w:r>
    </w:p>
    <w:tbl>
      <w:tblPr>
        <w:tblStyle w:val="TableGrid"/>
        <w:tblW w:type="auto" w:w="0"/>
        <w:tblBorders>
          <w:top w:val="none"/>
          <w:left w:val="none"/>
          <w:bottom w:val="none"/>
          <w:right w:val="none"/>
          <w:insideH w:val="none"/>
          <w:insideV w:val="none"/>
        </w:tblBorders>
        <w:tblLook w:firstColumn="1" w:firstRow="1" w:lastColumn="0" w:lastRow="0" w:noHBand="0" w:noVBand="1" w:val="04A0"/>
      </w:tblPr>
      <w:tblGrid>
        <w:gridCol w:w="9072"/>
      </w:tblGrid>
      <w:tr>
        <w:tc>
          <w:tcPr>
            <w:tcW w:type="dxa" w:w="9072"/>
            <w:shd w:val="clear" w:color="auto" w:fill="003269"/>
          </w:tcPr>
          <w:p>
            <w:pPr>
              <w:spacing w:before="120" w:after="120"/>
              <w:jc w:val="left"/>
            </w:pPr>
            <w:r>
              <w:rPr>
                <w:b/>
                <w:color w:val="FFFFFF"/>
                <w:sz w:val="24"/>
              </w:rPr>
              <w:t>C — Confidentiality</w:t>
              <w:br/>
              <w:t>(Kerahasiaan)</w:t>
            </w:r>
          </w:p>
        </w:tc>
      </w:tr>
      <w:tr>
        <w:tc>
          <w:tcPr>
            <w:tcW w:type="dxa" w:w="9072"/>
            <w:shd w:val="clear" w:color="auto" w:fill="EBF5FB"/>
          </w:tcPr>
          <w:p>
            <w:pPr>
              <w:spacing w:before="60" w:after="60"/>
              <w:jc w:val="both"/>
            </w:pPr>
            <w:r>
              <w:rPr>
                <w:sz w:val="21"/>
              </w:rPr>
              <w:t>Informasi hanya boleh diakses oleh pihak yang berwenang. Contoh: data polis dan data pribadi nasabah tidak boleh bocor kepada pihak yang tidak berkepentingan.</w:t>
            </w:r>
          </w:p>
        </w:tc>
      </w:tr>
    </w:tbl>
    <w:p/>
    <w:tbl>
      <w:tblPr>
        <w:tblStyle w:val="TableGrid"/>
        <w:tblW w:type="auto" w:w="0"/>
        <w:tblBorders>
          <w:top w:val="none"/>
          <w:left w:val="none"/>
          <w:bottom w:val="none"/>
          <w:right w:val="none"/>
          <w:insideH w:val="none"/>
          <w:insideV w:val="none"/>
        </w:tblBorders>
        <w:tblLook w:firstColumn="1" w:firstRow="1" w:lastColumn="0" w:lastRow="0" w:noHBand="0" w:noVBand="1" w:val="04A0"/>
      </w:tblPr>
      <w:tblGrid>
        <w:gridCol w:w="9072"/>
      </w:tblGrid>
      <w:tr>
        <w:tc>
          <w:tcPr>
            <w:tcW w:type="dxa" w:w="9072"/>
            <w:shd w:val="clear" w:color="auto" w:fill="007A8A"/>
          </w:tcPr>
          <w:p>
            <w:pPr>
              <w:spacing w:before="120" w:after="120"/>
              <w:jc w:val="left"/>
            </w:pPr>
            <w:r>
              <w:rPr>
                <w:b/>
                <w:color w:val="FFFFFF"/>
                <w:sz w:val="24"/>
              </w:rPr>
              <w:t>I — Integrity</w:t>
              <w:br/>
              <w:t>(Integritas)</w:t>
            </w:r>
          </w:p>
        </w:tc>
      </w:tr>
      <w:tr>
        <w:tc>
          <w:tcPr>
            <w:tcW w:type="dxa" w:w="9072"/>
            <w:shd w:val="clear" w:color="auto" w:fill="EBF5FB"/>
          </w:tcPr>
          <w:p>
            <w:pPr>
              <w:spacing w:before="60" w:after="60"/>
              <w:jc w:val="both"/>
            </w:pPr>
            <w:r>
              <w:rPr>
                <w:sz w:val="21"/>
              </w:rPr>
              <w:t>Informasi harus akurat, lengkap, dan tidak dimanipulasi. Contoh: data premi nasabah tidak boleh diubah tanpa otorisasi yang sah.</w:t>
            </w:r>
          </w:p>
        </w:tc>
      </w:tr>
    </w:tbl>
    <w:p/>
    <w:tbl>
      <w:tblPr>
        <w:tblStyle w:val="TableGrid"/>
        <w:tblW w:type="auto" w:w="0"/>
        <w:tblBorders>
          <w:top w:val="none"/>
          <w:left w:val="none"/>
          <w:bottom w:val="none"/>
          <w:right w:val="none"/>
          <w:insideH w:val="none"/>
          <w:insideV w:val="none"/>
        </w:tblBorders>
        <w:tblLook w:firstColumn="1" w:firstRow="1" w:lastColumn="0" w:lastRow="0" w:noHBand="0" w:noVBand="1" w:val="04A0"/>
      </w:tblPr>
      <w:tblGrid>
        <w:gridCol w:w="9072"/>
      </w:tblGrid>
      <w:tr>
        <w:tc>
          <w:tcPr>
            <w:tcW w:type="dxa" w:w="9072"/>
            <w:shd w:val="clear" w:color="auto" w:fill="E8860A"/>
          </w:tcPr>
          <w:p>
            <w:pPr>
              <w:spacing w:before="120" w:after="120"/>
              <w:jc w:val="left"/>
            </w:pPr>
            <w:r>
              <w:rPr>
                <w:b/>
                <w:color w:val="FFFFFF"/>
                <w:sz w:val="24"/>
              </w:rPr>
              <w:t>A — Availability</w:t>
              <w:br/>
              <w:t>(Ketersediaan)</w:t>
            </w:r>
          </w:p>
        </w:tc>
      </w:tr>
      <w:tr>
        <w:tc>
          <w:tcPr>
            <w:tcW w:type="dxa" w:w="9072"/>
            <w:shd w:val="clear" w:color="auto" w:fill="EBF5FB"/>
          </w:tcPr>
          <w:p>
            <w:pPr>
              <w:spacing w:before="60" w:after="60"/>
              <w:jc w:val="both"/>
            </w:pPr>
            <w:r>
              <w:rPr>
                <w:sz w:val="21"/>
              </w:rPr>
              <w:t>Sistem dan informasi harus dapat diakses saat dibutuhkan oleh pihak yang berwenang. Contoh: sistem klaim harus selalu online saat jam kerja.</w:t>
            </w:r>
          </w:p>
        </w:tc>
      </w:tr>
    </w:tbl>
    <w:p/>
    <w:p>
      <w:r>
        <w:br w:type="page"/>
      </w:r>
    </w:p>
    <w:p>
      <w:pPr>
        <w:pStyle w:val="Heading1"/>
      </w:pPr>
      <w:r>
        <w:rPr>
          <w:b/>
          <w:color w:val="00326B"/>
          <w:sz w:val="40"/>
        </w:rPr>
        <w:t>2. Mengapa Kita Harus Sadar Keamanan Siber?</w:t>
      </w:r>
    </w:p>
    <w:p>
      <w:pPr>
        <w:pBdr>
          <w:bottom w:val="single" w:sz="6" w:space="1" w:color="007A8A"/>
        </w:pBdr>
        <w:spacing w:after="80"/>
      </w:pPr>
    </w:p>
    <w:p>
      <w:pPr>
        <w:spacing w:before="0" w:after="160"/>
        <w:jc w:val="both"/>
      </w:pPr>
      <w:r>
        <w:rPr>
          <w:b w:val="0"/>
          <w:sz w:val="22"/>
        </w:rPr>
        <w:t>PT Equity Life Indonesia adalah perusahaan asuransi jiwa yang memegang kepercayaan jutaan nasabah. Setiap hari, kita mengelola data yang sangat sensitif—data kesehatan, data keuangan, hingga data identitas nasabah. Satu insiden keamanan saja dapat berdampak luar biasa bagi perusahaan dan nasabah kita.</w:t>
      </w:r>
    </w:p>
    <w:p>
      <w:pPr>
        <w:pStyle w:val="Heading2"/>
      </w:pPr>
      <w:r>
        <w:rPr>
          <w:b/>
          <w:color w:val="007A8A"/>
          <w:sz w:val="30"/>
        </w:rPr>
        <w:t>Fakta &amp; Ancaman yang Perlu Kita Ketahui</w:t>
      </w:r>
    </w:p>
    <w:p>
      <w:pPr>
        <w:spacing w:after="120"/>
        <w:ind w:left="283"/>
        <w:jc w:val="both"/>
      </w:pPr>
      <w:r>
        <w:rPr>
          <w:b/>
          <w:color w:val="FFFFFF"/>
          <w:sz w:val="22"/>
        </w:rPr>
        <w:t xml:space="preserve">  1  </w:t>
      </w:r>
      <w:r>
        <w:rPr>
          <w:b/>
          <w:color w:val="00326B"/>
          <w:sz w:val="22"/>
        </w:rPr>
        <w:t xml:space="preserve">95% insiden keamanan siber </w:t>
      </w:r>
      <w:r>
        <w:rPr>
          <w:sz w:val="22"/>
        </w:rPr>
        <w:t>disebabkan oleh kesalahan manusia—bukan kecanggihan hacker semata. Ini berarti setiap karyawan memiliki peran krusial dalam keamanan perusahaan.</w:t>
      </w:r>
    </w:p>
    <w:p>
      <w:pPr>
        <w:spacing w:after="120"/>
        <w:ind w:left="283"/>
        <w:jc w:val="both"/>
      </w:pPr>
      <w:r>
        <w:rPr>
          <w:b/>
          <w:color w:val="FFFFFF"/>
          <w:sz w:val="22"/>
        </w:rPr>
        <w:t xml:space="preserve">  2  </w:t>
      </w:r>
      <w:r>
        <w:rPr>
          <w:b/>
          <w:color w:val="00326B"/>
          <w:sz w:val="22"/>
        </w:rPr>
        <w:t xml:space="preserve">Industri asuransi adalah target utama </w:t>
      </w:r>
      <w:r>
        <w:rPr>
          <w:sz w:val="22"/>
        </w:rPr>
        <w:t>karena menyimpan data sensitif nasabah dalam jumlah besar, termasuk data kesehatan, data finansial, dan informasi identitas yang sangat bernilai di pasar gelap.</w:t>
      </w:r>
    </w:p>
    <w:p>
      <w:pPr>
        <w:spacing w:after="120"/>
        <w:ind w:left="283"/>
        <w:jc w:val="both"/>
      </w:pPr>
      <w:r>
        <w:rPr>
          <w:b/>
          <w:color w:val="FFFFFF"/>
          <w:sz w:val="22"/>
        </w:rPr>
        <w:t xml:space="preserve">  3  </w:t>
      </w:r>
      <w:r>
        <w:rPr>
          <w:b/>
          <w:color w:val="00326B"/>
          <w:sz w:val="22"/>
        </w:rPr>
        <w:t xml:space="preserve">Biaya rata-rata kebocoran data </w:t>
      </w:r>
      <w:r>
        <w:rPr>
          <w:sz w:val="22"/>
        </w:rPr>
        <w:t>di sektor keuangan dan asuransi mencapai USD 5,9 juta per insiden (IBM Cost of a Data Breach Report 2023)—belum termasuk kerugian reputasi dan denda regulasi.</w:t>
      </w:r>
    </w:p>
    <w:p>
      <w:pPr>
        <w:spacing w:after="120"/>
        <w:ind w:left="283"/>
        <w:jc w:val="both"/>
      </w:pPr>
      <w:r>
        <w:rPr>
          <w:b/>
          <w:color w:val="FFFFFF"/>
          <w:sz w:val="22"/>
        </w:rPr>
        <w:t xml:space="preserve">  4  </w:t>
      </w:r>
      <w:r>
        <w:rPr>
          <w:b/>
          <w:color w:val="00326B"/>
          <w:sz w:val="22"/>
        </w:rPr>
        <w:t xml:space="preserve">Serangan siber meningkat 300% </w:t>
      </w:r>
      <w:r>
        <w:rPr>
          <w:sz w:val="22"/>
        </w:rPr>
        <w:t>di Indonesia sejak pandemi COVID-19, seiring meningkatnya digitalisasi layanan. Perusahaan asuransi menjadi salah satu sektor yang paling banyak diserang.</w:t>
      </w:r>
    </w:p>
    <w:p/>
    <w:p>
      <w:pPr>
        <w:pStyle w:val="Heading2"/>
      </w:pPr>
      <w:r>
        <w:rPr>
          <w:b/>
          <w:color w:val="007A8A"/>
          <w:sz w:val="30"/>
        </w:rPr>
        <w:t>Dampak Nyata Jika Keamanan Diabaikan</w:t>
      </w:r>
    </w:p>
    <w:tbl>
      <w:tblPr>
        <w:tblStyle w:val="TableGrid"/>
        <w:tblW w:type="auto" w:w="0"/>
        <w:tblLook w:firstColumn="1" w:firstRow="1" w:lastColumn="0" w:lastRow="0" w:noHBand="0" w:noVBand="1" w:val="04A0"/>
      </w:tblPr>
      <w:tblGrid>
        <w:gridCol w:w="4536"/>
        <w:gridCol w:w="4536"/>
      </w:tblGrid>
      <w:tr>
        <w:tc>
          <w:tcPr>
            <w:tcW w:type="dxa" w:w="4536"/>
            <w:shd w:val="clear" w:color="auto" w:fill="003269"/>
          </w:tcPr>
          <w:p>
            <w:pPr>
              <w:spacing w:before="80" w:after="80"/>
              <w:jc w:val="center"/>
            </w:pPr>
            <w:r>
              <w:rPr>
                <w:b/>
                <w:color w:val="FFFFFF"/>
                <w:sz w:val="22"/>
              </w:rPr>
              <w:t>DAMPAK</w:t>
            </w:r>
          </w:p>
        </w:tc>
        <w:tc>
          <w:tcPr>
            <w:tcW w:type="dxa" w:w="4536"/>
            <w:shd w:val="clear" w:color="auto" w:fill="003269"/>
          </w:tcPr>
          <w:p>
            <w:pPr>
              <w:spacing w:before="80" w:after="80"/>
              <w:jc w:val="center"/>
            </w:pPr>
            <w:r>
              <w:rPr>
                <w:b/>
                <w:color w:val="FFFFFF"/>
                <w:sz w:val="22"/>
              </w:rPr>
              <w:t>CONTOH NYATA BAGI PT EQUITY LIFE INDONESIA</w:t>
            </w:r>
          </w:p>
        </w:tc>
      </w:tr>
      <w:tr>
        <w:tc>
          <w:tcPr>
            <w:tcW w:type="dxa" w:w="4536"/>
            <w:shd w:val="clear" w:color="auto" w:fill="EBF3FF"/>
          </w:tcPr>
          <w:p>
            <w:pPr>
              <w:spacing w:before="80" w:after="80"/>
            </w:pPr>
            <w:r>
              <w:rPr>
                <w:b/>
                <w:color w:val="00326B"/>
                <w:sz w:val="22"/>
              </w:rPr>
              <w:t>Kerugian Finansial</w:t>
            </w:r>
          </w:p>
        </w:tc>
        <w:tc>
          <w:tcPr>
            <w:tcW w:type="dxa" w:w="4536"/>
          </w:tcPr>
          <w:p>
            <w:pPr>
              <w:spacing w:before="80" w:after="80"/>
              <w:jc w:val="both"/>
            </w:pPr>
            <w:r>
              <w:rPr>
                <w:sz w:val="21"/>
              </w:rPr>
              <w:t>Denda OJK, biaya pemulihan sistem, kompensasi kepada nasabah yang dirugikan akibat kebocoran data.</w:t>
            </w:r>
          </w:p>
        </w:tc>
      </w:tr>
      <w:tr>
        <w:tc>
          <w:tcPr>
            <w:tcW w:type="dxa" w:w="4536"/>
            <w:shd w:val="clear" w:color="auto" w:fill="EBF3FF"/>
          </w:tcPr>
          <w:p>
            <w:pPr>
              <w:spacing w:before="80" w:after="80"/>
            </w:pPr>
            <w:r>
              <w:rPr>
                <w:b/>
                <w:color w:val="00326B"/>
                <w:sz w:val="22"/>
              </w:rPr>
              <w:t>Kerusakan Reputasi</w:t>
            </w:r>
          </w:p>
        </w:tc>
        <w:tc>
          <w:tcPr>
            <w:tcW w:type="dxa" w:w="4536"/>
          </w:tcPr>
          <w:p>
            <w:pPr>
              <w:spacing w:before="80" w:after="80"/>
              <w:jc w:val="both"/>
            </w:pPr>
            <w:r>
              <w:rPr>
                <w:sz w:val="21"/>
              </w:rPr>
              <w:t>Kehilangan kepercayaan nasabah. Nasabah yang tidak percaya akan beralih ke kompetitor.</w:t>
            </w:r>
          </w:p>
        </w:tc>
      </w:tr>
      <w:tr>
        <w:tc>
          <w:tcPr>
            <w:tcW w:type="dxa" w:w="4536"/>
            <w:shd w:val="clear" w:color="auto" w:fill="EBF3FF"/>
          </w:tcPr>
          <w:p>
            <w:pPr>
              <w:spacing w:before="80" w:after="80"/>
            </w:pPr>
            <w:r>
              <w:rPr>
                <w:b/>
                <w:color w:val="00326B"/>
                <w:sz w:val="22"/>
              </w:rPr>
              <w:t>Sanksi Hukum</w:t>
            </w:r>
          </w:p>
        </w:tc>
        <w:tc>
          <w:tcPr>
            <w:tcW w:type="dxa" w:w="4536"/>
          </w:tcPr>
          <w:p>
            <w:pPr>
              <w:spacing w:before="80" w:after="80"/>
              <w:jc w:val="both"/>
            </w:pPr>
            <w:r>
              <w:rPr>
                <w:sz w:val="21"/>
              </w:rPr>
              <w:t>Pelanggaran UU PDP (Perlindungan Data Pribadi) dapat berujung pidana bagi perusahaan dan pengelola data.</w:t>
            </w:r>
          </w:p>
        </w:tc>
      </w:tr>
      <w:tr>
        <w:tc>
          <w:tcPr>
            <w:tcW w:type="dxa" w:w="4536"/>
            <w:shd w:val="clear" w:color="auto" w:fill="EBF3FF"/>
          </w:tcPr>
          <w:p>
            <w:pPr>
              <w:spacing w:before="80" w:after="80"/>
            </w:pPr>
            <w:r>
              <w:rPr>
                <w:b/>
                <w:color w:val="00326B"/>
                <w:sz w:val="22"/>
              </w:rPr>
              <w:t>Gangguan Operasional</w:t>
            </w:r>
          </w:p>
        </w:tc>
        <w:tc>
          <w:tcPr>
            <w:tcW w:type="dxa" w:w="4536"/>
          </w:tcPr>
          <w:p>
            <w:pPr>
              <w:spacing w:before="80" w:after="80"/>
              <w:jc w:val="both"/>
            </w:pPr>
            <w:r>
              <w:rPr>
                <w:sz w:val="21"/>
              </w:rPr>
              <w:t>Sistem klaim atau underwriting yang terganggu akibat serangan ransomware dapat menghentikan layanan kepada nasabah.</w:t>
            </w:r>
          </w:p>
        </w:tc>
      </w:tr>
    </w:tbl>
    <w:p/>
    <w:p>
      <w:r>
        <w:br w:type="page"/>
      </w:r>
    </w:p>
    <w:p>
      <w:pPr>
        <w:pStyle w:val="Heading1"/>
      </w:pPr>
      <w:r>
        <w:rPr>
          <w:b/>
          <w:color w:val="00326B"/>
          <w:sz w:val="40"/>
        </w:rPr>
        <w:t>3. Tanggung Jawab Keamanan Siber: Siapa yang Bertanggung Jawab?</w:t>
      </w:r>
    </w:p>
    <w:p>
      <w:pPr>
        <w:pBdr>
          <w:bottom w:val="single" w:sz="6" w:space="1" w:color="007A8A"/>
        </w:pBdr>
        <w:spacing w:after="80"/>
      </w:pPr>
    </w:p>
    <w:p>
      <w:pPr>
        <w:spacing w:before="0" w:after="160"/>
        <w:jc w:val="both"/>
      </w:pPr>
      <w:r>
        <w:rPr>
          <w:b w:val="0"/>
          <w:sz w:val="22"/>
        </w:rPr>
        <w:t>Satu miskonsepsi yang paling umum dan paling berbahaya adalah anggapan bahwa keamanan siber adalah urusan Departemen IT semata. Kenyataannya, keamanan informasi adalah tanggung jawab SELURUH karyawan, di semua level dan di semua departemen.</w:t>
      </w:r>
    </w:p>
    <w:tbl>
      <w:tblPr>
        <w:tblW w:type="auto" w:w="0"/>
        <w:tblBorders>
          <w:top w:val="none"/>
          <w:left w:val="none"/>
          <w:bottom w:val="none"/>
          <w:right w:val="none"/>
          <w:insideH w:val="none"/>
          <w:insideV w:val="none"/>
        </w:tblBorders>
        <w:tblLook w:firstColumn="1" w:firstRow="1" w:lastColumn="0" w:lastRow="0" w:noHBand="0" w:noVBand="1" w:val="04A0"/>
      </w:tblPr>
      <w:tblGrid>
        <w:gridCol w:w="9072"/>
      </w:tblGrid>
      <w:tr>
        <w:tc>
          <w:tcPr>
            <w:tcW w:type="dxa" w:w="9072"/>
            <w:tcBorders>
              <w:top w:val="single" w:sz="8" w:space="0" w:color="E8A110"/>
              <w:left w:val="single" w:sz="8" w:space="0" w:color="E8A110"/>
              <w:bottom w:val="single" w:sz="8" w:space="0" w:color="E8A110"/>
              <w:right w:val="single" w:sz="8" w:space="0" w:color="E8A110"/>
            </w:tcBorders>
            <w:shd w:val="clear" w:color="auto" w:fill="FFF3CD"/>
          </w:tcPr>
          <w:p>
            <w:pPr>
              <w:spacing w:before="80" w:after="80"/>
              <w:jc w:val="left"/>
            </w:pPr>
            <w:r>
              <w:rPr>
                <w:sz w:val="22"/>
              </w:rPr>
              <w:t>PENTING  Karyawan adalah lini pertahanan pertama—dan yang paling sering diserang oleh pelaku kejahatan siber. Hacker lebih mudah memanipulasi manusia daripada membobol sistem keamanan teknis yang canggih.</w:t>
            </w:r>
          </w:p>
        </w:tc>
      </w:tr>
    </w:tbl>
    <w:p/>
    <w:p>
      <w:pPr>
        <w:pStyle w:val="Heading2"/>
      </w:pPr>
      <w:r>
        <w:rPr>
          <w:b/>
          <w:color w:val="007A8A"/>
          <w:sz w:val="30"/>
        </w:rPr>
        <w:t>Peran dan Tanggung Jawab Masing-Masing</w:t>
      </w:r>
    </w:p>
    <w:p>
      <w:pPr>
        <w:shd w:val="clear" w:color="auto" w:fill="003269"/>
        <w:spacing w:before="160" w:after="0"/>
      </w:pPr>
      <w:r>
        <w:rPr>
          <w:b/>
          <w:color w:val="FFFFFF"/>
          <w:sz w:val="24"/>
        </w:rPr>
        <w:t xml:space="preserve">  Seluruh Karyawan</w:t>
      </w:r>
    </w:p>
    <w:p>
      <w:pPr>
        <w:shd w:val="clear" w:color="auto" w:fill="F5F8FF"/>
        <w:spacing w:after="60" w:before="0"/>
        <w:ind w:left="567"/>
      </w:pPr>
      <w:r>
        <w:rPr>
          <w:b/>
          <w:color w:val="003269"/>
        </w:rPr>
        <w:t xml:space="preserve">  •  </w:t>
      </w:r>
      <w:r>
        <w:rPr>
          <w:sz w:val="21"/>
        </w:rPr>
        <w:t>Menjaga kerahasiaan password dan tidak membagikannya kepada siapapun.</w:t>
      </w:r>
    </w:p>
    <w:p>
      <w:pPr>
        <w:shd w:val="clear" w:color="auto" w:fill="F5F8FF"/>
        <w:spacing w:after="60" w:before="0"/>
        <w:ind w:left="567"/>
      </w:pPr>
      <w:r>
        <w:rPr>
          <w:b/>
          <w:color w:val="003269"/>
        </w:rPr>
        <w:t xml:space="preserve">  •  </w:t>
      </w:r>
      <w:r>
        <w:rPr>
          <w:sz w:val="21"/>
        </w:rPr>
        <w:t>Waspada terhadap email phishing dan tautan mencurigakan.</w:t>
      </w:r>
    </w:p>
    <w:p>
      <w:pPr>
        <w:shd w:val="clear" w:color="auto" w:fill="F5F8FF"/>
        <w:spacing w:after="60" w:before="0"/>
        <w:ind w:left="567"/>
      </w:pPr>
      <w:r>
        <w:rPr>
          <w:b/>
          <w:color w:val="003269"/>
        </w:rPr>
        <w:t xml:space="preserve">  •  </w:t>
      </w:r>
      <w:r>
        <w:rPr>
          <w:sz w:val="21"/>
        </w:rPr>
        <w:t>Melaporkan insiden atau kecurigaan keamanan kepada IT segera.</w:t>
      </w:r>
    </w:p>
    <w:p>
      <w:pPr>
        <w:shd w:val="clear" w:color="auto" w:fill="F5F8FF"/>
        <w:spacing w:after="60" w:before="0"/>
        <w:ind w:left="567"/>
      </w:pPr>
      <w:r>
        <w:rPr>
          <w:b/>
          <w:color w:val="003269"/>
        </w:rPr>
        <w:t xml:space="preserve">  •  </w:t>
      </w:r>
      <w:r>
        <w:rPr>
          <w:sz w:val="21"/>
        </w:rPr>
        <w:t>Menggunakan perangkat perusahaan sesuai kebijakan yang berlaku.</w:t>
      </w:r>
    </w:p>
    <w:p>
      <w:pPr>
        <w:shd w:val="clear" w:color="auto" w:fill="F5F8FF"/>
        <w:spacing w:after="60" w:before="0"/>
        <w:ind w:left="567"/>
      </w:pPr>
      <w:r>
        <w:rPr>
          <w:b/>
          <w:color w:val="003269"/>
        </w:rPr>
        <w:t xml:space="preserve">  •  </w:t>
      </w:r>
      <w:r>
        <w:rPr>
          <w:sz w:val="21"/>
        </w:rPr>
        <w:t>Tidak mengakses data yang bukan wewenangnya.</w:t>
      </w:r>
    </w:p>
    <w:p/>
    <w:p>
      <w:pPr>
        <w:shd w:val="clear" w:color="auto" w:fill="007A8A"/>
        <w:spacing w:before="160" w:after="0"/>
      </w:pPr>
      <w:r>
        <w:rPr>
          <w:b/>
          <w:color w:val="FFFFFF"/>
          <w:sz w:val="24"/>
        </w:rPr>
        <w:t xml:space="preserve">  Manajer &amp; Supervisor</w:t>
      </w:r>
    </w:p>
    <w:p>
      <w:pPr>
        <w:shd w:val="clear" w:color="auto" w:fill="F5F8FF"/>
        <w:spacing w:after="60" w:before="0"/>
        <w:ind w:left="567"/>
      </w:pPr>
      <w:r>
        <w:rPr>
          <w:b/>
          <w:color w:val="007A8A"/>
        </w:rPr>
        <w:t xml:space="preserve">  •  </w:t>
      </w:r>
      <w:r>
        <w:rPr>
          <w:sz w:val="21"/>
        </w:rPr>
        <w:t>Memastikan anggota tim memahami dan mematuhi kebijakan keamanan.</w:t>
      </w:r>
    </w:p>
    <w:p>
      <w:pPr>
        <w:shd w:val="clear" w:color="auto" w:fill="F5F8FF"/>
        <w:spacing w:after="60" w:before="0"/>
        <w:ind w:left="567"/>
      </w:pPr>
      <w:r>
        <w:rPr>
          <w:b/>
          <w:color w:val="007A8A"/>
        </w:rPr>
        <w:t xml:space="preserve">  •  </w:t>
      </w:r>
      <w:r>
        <w:rPr>
          <w:sz w:val="21"/>
        </w:rPr>
        <w:t>Melakukan review akses hak sistem secara berkala untuk anggota tim.</w:t>
      </w:r>
    </w:p>
    <w:p>
      <w:pPr>
        <w:shd w:val="clear" w:color="auto" w:fill="F5F8FF"/>
        <w:spacing w:after="60" w:before="0"/>
        <w:ind w:left="567"/>
      </w:pPr>
      <w:r>
        <w:rPr>
          <w:b/>
          <w:color w:val="007A8A"/>
        </w:rPr>
        <w:t xml:space="preserve">  •  </w:t>
      </w:r>
      <w:r>
        <w:rPr>
          <w:sz w:val="21"/>
        </w:rPr>
        <w:t>Menjadi contoh teladan dalam perilaku keamanan informasi.</w:t>
      </w:r>
    </w:p>
    <w:p>
      <w:pPr>
        <w:shd w:val="clear" w:color="auto" w:fill="F5F8FF"/>
        <w:spacing w:after="60" w:before="0"/>
        <w:ind w:left="567"/>
      </w:pPr>
      <w:r>
        <w:rPr>
          <w:b/>
          <w:color w:val="007A8A"/>
        </w:rPr>
        <w:t xml:space="preserve">  •  </w:t>
      </w:r>
      <w:r>
        <w:rPr>
          <w:sz w:val="21"/>
        </w:rPr>
        <w:t>Memastikan proses kerja di departemen sesuai standar keamanan.</w:t>
      </w:r>
    </w:p>
    <w:p/>
    <w:p>
      <w:pPr>
        <w:shd w:val="clear" w:color="auto" w:fill="E8860A"/>
        <w:spacing w:before="160" w:after="0"/>
      </w:pPr>
      <w:r>
        <w:rPr>
          <w:b/>
          <w:color w:val="FFFFFF"/>
          <w:sz w:val="24"/>
        </w:rPr>
        <w:t xml:space="preserve">  Departemen IT</w:t>
      </w:r>
    </w:p>
    <w:p>
      <w:pPr>
        <w:shd w:val="clear" w:color="auto" w:fill="F5F8FF"/>
        <w:spacing w:after="60" w:before="0"/>
        <w:ind w:left="567"/>
      </w:pPr>
      <w:r>
        <w:rPr>
          <w:b/>
          <w:color w:val="E8860A"/>
        </w:rPr>
        <w:t xml:space="preserve">  •  </w:t>
      </w:r>
      <w:r>
        <w:rPr>
          <w:sz w:val="21"/>
        </w:rPr>
        <w:t>Merancang dan memelihara infrastruktur keamanan teknis.</w:t>
      </w:r>
    </w:p>
    <w:p>
      <w:pPr>
        <w:shd w:val="clear" w:color="auto" w:fill="F5F8FF"/>
        <w:spacing w:after="60" w:before="0"/>
        <w:ind w:left="567"/>
      </w:pPr>
      <w:r>
        <w:rPr>
          <w:b/>
          <w:color w:val="E8860A"/>
        </w:rPr>
        <w:t xml:space="preserve">  •  </w:t>
      </w:r>
      <w:r>
        <w:rPr>
          <w:sz w:val="21"/>
        </w:rPr>
        <w:t>Memberikan edukasi dan awareness kepada seluruh karyawan.</w:t>
      </w:r>
    </w:p>
    <w:p>
      <w:pPr>
        <w:shd w:val="clear" w:color="auto" w:fill="F5F8FF"/>
        <w:spacing w:after="60" w:before="0"/>
        <w:ind w:left="567"/>
      </w:pPr>
      <w:r>
        <w:rPr>
          <w:b/>
          <w:color w:val="E8860A"/>
        </w:rPr>
        <w:t xml:space="preserve">  •  </w:t>
      </w:r>
      <w:r>
        <w:rPr>
          <w:sz w:val="21"/>
        </w:rPr>
        <w:t>Melakukan monitoring ancaman dan respons insiden.</w:t>
      </w:r>
    </w:p>
    <w:p>
      <w:pPr>
        <w:shd w:val="clear" w:color="auto" w:fill="F5F8FF"/>
        <w:spacing w:after="60" w:before="0"/>
        <w:ind w:left="567"/>
      </w:pPr>
      <w:r>
        <w:rPr>
          <w:b/>
          <w:color w:val="E8860A"/>
        </w:rPr>
        <w:t xml:space="preserve">  •  </w:t>
      </w:r>
      <w:r>
        <w:rPr>
          <w:sz w:val="21"/>
        </w:rPr>
        <w:t>Memastikan sistem dan aplikasi selalu diperbarui (patch management).</w:t>
      </w:r>
    </w:p>
    <w:p/>
    <w:p>
      <w:pPr>
        <w:shd w:val="clear" w:color="auto" w:fill="C0392B"/>
        <w:spacing w:before="160" w:after="0"/>
      </w:pPr>
      <w:r>
        <w:rPr>
          <w:b/>
          <w:color w:val="FFFFFF"/>
          <w:sz w:val="24"/>
        </w:rPr>
        <w:t xml:space="preserve">  Manajemen &amp; Direksi</w:t>
      </w:r>
    </w:p>
    <w:p>
      <w:pPr>
        <w:shd w:val="clear" w:color="auto" w:fill="F5F8FF"/>
        <w:spacing w:after="60" w:before="0"/>
        <w:ind w:left="567"/>
      </w:pPr>
      <w:r>
        <w:rPr>
          <w:b/>
          <w:color w:val="C0392B"/>
        </w:rPr>
        <w:t xml:space="preserve">  •  </w:t>
      </w:r>
      <w:r>
        <w:rPr>
          <w:sz w:val="21"/>
        </w:rPr>
        <w:t>Menetapkan kebijakan dan komitmen keamanan informasi di level organisasi.</w:t>
      </w:r>
    </w:p>
    <w:p>
      <w:pPr>
        <w:shd w:val="clear" w:color="auto" w:fill="F5F8FF"/>
        <w:spacing w:after="60" w:before="0"/>
        <w:ind w:left="567"/>
      </w:pPr>
      <w:r>
        <w:rPr>
          <w:b/>
          <w:color w:val="C0392B"/>
        </w:rPr>
        <w:t xml:space="preserve">  •  </w:t>
      </w:r>
      <w:r>
        <w:rPr>
          <w:sz w:val="21"/>
        </w:rPr>
        <w:t>Mengalokasikan anggaran yang memadai untuk program keamanan siber.</w:t>
      </w:r>
    </w:p>
    <w:p>
      <w:pPr>
        <w:shd w:val="clear" w:color="auto" w:fill="F5F8FF"/>
        <w:spacing w:after="60" w:before="0"/>
        <w:ind w:left="567"/>
      </w:pPr>
      <w:r>
        <w:rPr>
          <w:b/>
          <w:color w:val="C0392B"/>
        </w:rPr>
        <w:t xml:space="preserve">  •  </w:t>
      </w:r>
      <w:r>
        <w:rPr>
          <w:sz w:val="21"/>
        </w:rPr>
        <w:t>Memastikan kepatuhan terhadap regulasi (OJK, UU PDP, ISO 27001).</w:t>
      </w:r>
    </w:p>
    <w:p>
      <w:pPr>
        <w:shd w:val="clear" w:color="auto" w:fill="F5F8FF"/>
        <w:spacing w:after="60" w:before="0"/>
        <w:ind w:left="567"/>
      </w:pPr>
      <w:r>
        <w:rPr>
          <w:b/>
          <w:color w:val="C0392B"/>
        </w:rPr>
        <w:t xml:space="preserve">  •  </w:t>
      </w:r>
      <w:r>
        <w:rPr>
          <w:sz w:val="21"/>
        </w:rPr>
        <w:t>Menjadi sponsor dan pendukung utama program cybersecurity awareness.</w:t>
      </w:r>
    </w:p>
    <w:p/>
    <w:p>
      <w:pPr>
        <w:pStyle w:val="Heading1"/>
      </w:pPr>
      <w:r>
        <w:rPr>
          <w:b/>
          <w:color w:val="00326B"/>
          <w:sz w:val="40"/>
        </w:rPr>
        <w:t>4. Prinsip Dasar Perilaku Aman di Tempat Kerja</w:t>
      </w:r>
    </w:p>
    <w:p>
      <w:pPr>
        <w:pBdr>
          <w:bottom w:val="single" w:sz="6" w:space="1" w:color="007A8A"/>
        </w:pBdr>
        <w:spacing w:after="80"/>
      </w:pPr>
    </w:p>
    <w:p>
      <w:pPr>
        <w:spacing w:before="0" w:after="160"/>
        <w:jc w:val="both"/>
      </w:pPr>
      <w:r>
        <w:rPr>
          <w:b w:val="0"/>
          <w:sz w:val="22"/>
        </w:rPr>
        <w:t>Keamanan siber tidak hanya soal teknologi canggih. Sebagian besar perlindungan terbaik dimulai dari kebiasaan dan perilaku sehari-hari yang sederhana namun konsisten dilakukan oleh setiap karyawan.</w:t>
      </w:r>
    </w:p>
    <w:tbl>
      <w:tblPr>
        <w:tblW w:type="auto" w:w="0"/>
        <w:tblBorders>
          <w:top w:val="none"/>
          <w:left w:val="none"/>
          <w:bottom w:val="none"/>
          <w:right w:val="none"/>
          <w:insideH w:val="none"/>
          <w:insideV w:val="none"/>
        </w:tblBorders>
        <w:tblLook w:firstColumn="1" w:firstRow="1" w:lastColumn="0" w:lastRow="0" w:noHBand="0" w:noVBand="1" w:val="04A0"/>
      </w:tblPr>
      <w:tblGrid>
        <w:gridCol w:w="4536"/>
        <w:gridCol w:w="4536"/>
      </w:tblGrid>
      <w:tr>
        <w:tc>
          <w:tcPr>
            <w:tcW w:type="dxa" w:w="850"/>
            <w:shd w:val="clear" w:color="auto" w:fill="003269"/>
          </w:tcPr>
          <w:p>
            <w:pPr>
              <w:jc w:val="center"/>
            </w:pPr>
            <w:r>
              <w:rPr>
                <w:b/>
                <w:color w:val="FFFFFF"/>
                <w:sz w:val="40"/>
              </w:rPr>
              <w:t>1</w:t>
            </w:r>
          </w:p>
        </w:tc>
        <w:tc>
          <w:tcPr>
            <w:tcW w:type="dxa" w:w="4536"/>
            <w:shd w:val="clear" w:color="auto" w:fill="F0F6FF"/>
          </w:tcPr>
          <w:p>
            <w:pPr>
              <w:spacing w:before="80" w:after="40"/>
            </w:pPr>
            <w:r>
              <w:rPr>
                <w:b/>
                <w:color w:val="00326B"/>
                <w:sz w:val="24"/>
              </w:rPr>
              <w:t>Kebijakan Password yang Kuat</w:t>
            </w:r>
          </w:p>
          <w:p>
            <w:pPr>
              <w:spacing w:before="40" w:after="120"/>
              <w:jc w:val="both"/>
            </w:pPr>
            <w:r>
              <w:rPr>
                <w:sz w:val="21"/>
              </w:rPr>
              <w:t>Gunakan password minimal 12 karakter dengan kombinasi huruf besar, huruf kecil, angka, dan simbol. Ganti password secara berkala (minimal setiap 90 hari). JANGAN pernah menggunakan password yang sama untuk akun yang berbeda. Gunakan password manager jika diizinkan.</w:t>
            </w:r>
          </w:p>
        </w:tc>
      </w:tr>
    </w:tbl>
    <w:p/>
    <w:tbl>
      <w:tblPr>
        <w:tblW w:type="auto" w:w="0"/>
        <w:tblBorders>
          <w:top w:val="none"/>
          <w:left w:val="none"/>
          <w:bottom w:val="none"/>
          <w:right w:val="none"/>
          <w:insideH w:val="none"/>
          <w:insideV w:val="none"/>
        </w:tblBorders>
        <w:tblLook w:firstColumn="1" w:firstRow="1" w:lastColumn="0" w:lastRow="0" w:noHBand="0" w:noVBand="1" w:val="04A0"/>
      </w:tblPr>
      <w:tblGrid>
        <w:gridCol w:w="4536"/>
        <w:gridCol w:w="4536"/>
      </w:tblGrid>
      <w:tr>
        <w:tc>
          <w:tcPr>
            <w:tcW w:type="dxa" w:w="850"/>
            <w:shd w:val="clear" w:color="auto" w:fill="003269"/>
          </w:tcPr>
          <w:p>
            <w:pPr>
              <w:jc w:val="center"/>
            </w:pPr>
            <w:r>
              <w:rPr>
                <w:b/>
                <w:color w:val="FFFFFF"/>
                <w:sz w:val="40"/>
              </w:rPr>
              <w:t>2</w:t>
            </w:r>
          </w:p>
        </w:tc>
        <w:tc>
          <w:tcPr>
            <w:tcW w:type="dxa" w:w="4536"/>
            <w:shd w:val="clear" w:color="auto" w:fill="F0F6FF"/>
          </w:tcPr>
          <w:p>
            <w:pPr>
              <w:spacing w:before="80" w:after="40"/>
            </w:pPr>
            <w:r>
              <w:rPr>
                <w:b/>
                <w:color w:val="00326B"/>
                <w:sz w:val="24"/>
              </w:rPr>
              <w:t>Hati-Hati dengan Email</w:t>
            </w:r>
          </w:p>
          <w:p>
            <w:pPr>
              <w:spacing w:before="40" w:after="120"/>
              <w:jc w:val="both"/>
            </w:pPr>
            <w:r>
              <w:rPr>
                <w:sz w:val="21"/>
              </w:rPr>
              <w:t>Periksa alamat email pengirim dengan teliti sebelum membuka lampiran atau mengklik tautan. Waspadai email yang meminta informasi sensitif, menawarkan sesuatu yang terlalu bagus, atau menciptakan rasa urgensi palsu. Ketika ragu, hubungi IT sebelum bertindak.</w:t>
            </w:r>
          </w:p>
        </w:tc>
      </w:tr>
    </w:tbl>
    <w:p/>
    <w:tbl>
      <w:tblPr>
        <w:tblW w:type="auto" w:w="0"/>
        <w:tblBorders>
          <w:top w:val="none"/>
          <w:left w:val="none"/>
          <w:bottom w:val="none"/>
          <w:right w:val="none"/>
          <w:insideH w:val="none"/>
          <w:insideV w:val="none"/>
        </w:tblBorders>
        <w:tblLook w:firstColumn="1" w:firstRow="1" w:lastColumn="0" w:lastRow="0" w:noHBand="0" w:noVBand="1" w:val="04A0"/>
      </w:tblPr>
      <w:tblGrid>
        <w:gridCol w:w="4536"/>
        <w:gridCol w:w="4536"/>
      </w:tblGrid>
      <w:tr>
        <w:tc>
          <w:tcPr>
            <w:tcW w:type="dxa" w:w="850"/>
            <w:shd w:val="clear" w:color="auto" w:fill="003269"/>
          </w:tcPr>
          <w:p>
            <w:pPr>
              <w:jc w:val="center"/>
            </w:pPr>
            <w:r>
              <w:rPr>
                <w:b/>
                <w:color w:val="FFFFFF"/>
                <w:sz w:val="40"/>
              </w:rPr>
              <w:t>3</w:t>
            </w:r>
          </w:p>
        </w:tc>
        <w:tc>
          <w:tcPr>
            <w:tcW w:type="dxa" w:w="4536"/>
            <w:shd w:val="clear" w:color="auto" w:fill="F0F6FF"/>
          </w:tcPr>
          <w:p>
            <w:pPr>
              <w:spacing w:before="80" w:after="40"/>
            </w:pPr>
            <w:r>
              <w:rPr>
                <w:b/>
                <w:color w:val="00326B"/>
                <w:sz w:val="24"/>
              </w:rPr>
              <w:t>Kunci Layar Perangkat</w:t>
            </w:r>
          </w:p>
          <w:p>
            <w:pPr>
              <w:spacing w:before="40" w:after="120"/>
              <w:jc w:val="both"/>
            </w:pPr>
            <w:r>
              <w:rPr>
                <w:sz w:val="21"/>
              </w:rPr>
              <w:t>Selalu kunci komputer/laptop saat meninggalkan meja kerja, meskipun hanya sebentar. Gunakan shortcut Windows + L (Windows) atau Control + Command + Q (Mac). Ini mencegah akses tidak sah terhadap data yang sedang dibuka.</w:t>
            </w:r>
          </w:p>
        </w:tc>
      </w:tr>
    </w:tbl>
    <w:p/>
    <w:tbl>
      <w:tblPr>
        <w:tblW w:type="auto" w:w="0"/>
        <w:tblBorders>
          <w:top w:val="none"/>
          <w:left w:val="none"/>
          <w:bottom w:val="none"/>
          <w:right w:val="none"/>
          <w:insideH w:val="none"/>
          <w:insideV w:val="none"/>
        </w:tblBorders>
        <w:tblLook w:firstColumn="1" w:firstRow="1" w:lastColumn="0" w:lastRow="0" w:noHBand="0" w:noVBand="1" w:val="04A0"/>
      </w:tblPr>
      <w:tblGrid>
        <w:gridCol w:w="4536"/>
        <w:gridCol w:w="4536"/>
      </w:tblGrid>
      <w:tr>
        <w:tc>
          <w:tcPr>
            <w:tcW w:type="dxa" w:w="850"/>
            <w:shd w:val="clear" w:color="auto" w:fill="003269"/>
          </w:tcPr>
          <w:p>
            <w:pPr>
              <w:jc w:val="center"/>
            </w:pPr>
            <w:r>
              <w:rPr>
                <w:b/>
                <w:color w:val="FFFFFF"/>
                <w:sz w:val="40"/>
              </w:rPr>
              <w:t>4</w:t>
            </w:r>
          </w:p>
        </w:tc>
        <w:tc>
          <w:tcPr>
            <w:tcW w:type="dxa" w:w="4536"/>
            <w:shd w:val="clear" w:color="auto" w:fill="F0F6FF"/>
          </w:tcPr>
          <w:p>
            <w:pPr>
              <w:spacing w:before="80" w:after="40"/>
            </w:pPr>
            <w:r>
              <w:rPr>
                <w:b/>
                <w:color w:val="00326B"/>
                <w:sz w:val="24"/>
              </w:rPr>
              <w:t>Lindungi Dokumen Fisik</w:t>
            </w:r>
          </w:p>
          <w:p>
            <w:pPr>
              <w:spacing w:before="40" w:after="120"/>
              <w:jc w:val="both"/>
            </w:pPr>
            <w:r>
              <w:rPr>
                <w:sz w:val="21"/>
              </w:rPr>
              <w:t>Dokumen yang mengandung informasi sensitif harus disimpan di tempat yang aman dan terkunci. Musnahkan dokumen sensitif dengan shredder, bukan dibuang langsung ke tempat sampah. Terapkan prinsip clean desk policy.</w:t>
            </w:r>
          </w:p>
        </w:tc>
      </w:tr>
    </w:tbl>
    <w:p/>
    <w:tbl>
      <w:tblPr>
        <w:tblW w:type="auto" w:w="0"/>
        <w:tblBorders>
          <w:top w:val="none"/>
          <w:left w:val="none"/>
          <w:bottom w:val="none"/>
          <w:right w:val="none"/>
          <w:insideH w:val="none"/>
          <w:insideV w:val="none"/>
        </w:tblBorders>
        <w:tblLook w:firstColumn="1" w:firstRow="1" w:lastColumn="0" w:lastRow="0" w:noHBand="0" w:noVBand="1" w:val="04A0"/>
      </w:tblPr>
      <w:tblGrid>
        <w:gridCol w:w="4536"/>
        <w:gridCol w:w="4536"/>
      </w:tblGrid>
      <w:tr>
        <w:tc>
          <w:tcPr>
            <w:tcW w:type="dxa" w:w="850"/>
            <w:shd w:val="clear" w:color="auto" w:fill="003269"/>
          </w:tcPr>
          <w:p>
            <w:pPr>
              <w:jc w:val="center"/>
            </w:pPr>
            <w:r>
              <w:rPr>
                <w:b/>
                <w:color w:val="FFFFFF"/>
                <w:sz w:val="40"/>
              </w:rPr>
              <w:t>5</w:t>
            </w:r>
          </w:p>
        </w:tc>
        <w:tc>
          <w:tcPr>
            <w:tcW w:type="dxa" w:w="4536"/>
            <w:shd w:val="clear" w:color="auto" w:fill="F0F6FF"/>
          </w:tcPr>
          <w:p>
            <w:pPr>
              <w:spacing w:before="80" w:after="40"/>
            </w:pPr>
            <w:r>
              <w:rPr>
                <w:b/>
                <w:color w:val="00326B"/>
                <w:sz w:val="24"/>
              </w:rPr>
              <w:t>Laporkan Segera Insiden</w:t>
            </w:r>
          </w:p>
          <w:p>
            <w:pPr>
              <w:spacing w:before="40" w:after="120"/>
              <w:jc w:val="both"/>
            </w:pPr>
            <w:r>
              <w:rPr>
                <w:sz w:val="21"/>
              </w:rPr>
              <w:t>Jika Anda mencurigai adanya insiden keamanan—perangkat berperilaku aneh, email mencurigakan, data yang tidak seharusnya terekspos—laporkan SEGERA kepada Departemen IT. Pelaporan cepat adalah kunci meminimalkan dampak insiden.</w:t>
            </w:r>
          </w:p>
        </w:tc>
      </w:tr>
    </w:tbl>
    <w:p/>
    <w:p>
      <w:r>
        <w:br w:type="page"/>
      </w:r>
    </w:p>
    <w:p>
      <w:pPr>
        <w:pStyle w:val="Heading1"/>
      </w:pPr>
      <w:r>
        <w:rPr>
          <w:b/>
          <w:color w:val="00326B"/>
          <w:sz w:val="40"/>
        </w:rPr>
        <w:t>Refleksi &amp; Uji Pemahaman</w:t>
      </w:r>
    </w:p>
    <w:p>
      <w:pPr>
        <w:pBdr>
          <w:bottom w:val="single" w:sz="6" w:space="1" w:color="007A8A"/>
        </w:pBdr>
        <w:spacing w:after="80"/>
      </w:pPr>
    </w:p>
    <w:p>
      <w:pPr>
        <w:spacing w:before="0" w:after="160"/>
        <w:jc w:val="both"/>
      </w:pPr>
      <w:r>
        <w:rPr>
          <w:b w:val="0"/>
          <w:sz w:val="22"/>
        </w:rPr>
        <w:t>Sebelum melanjutkan ke modul berikutnya, jawablah pertanyaan-pertanyaan berikut secara jujur untuk mengukur pemahaman Anda:</w:t>
      </w:r>
    </w:p>
    <w:p>
      <w:pPr>
        <w:spacing w:after="60"/>
      </w:pPr>
      <w:r>
        <w:rPr>
          <w:b/>
          <w:color w:val="00326B"/>
          <w:sz w:val="22"/>
        </w:rPr>
        <w:t xml:space="preserve">Pertanyaan 1: </w:t>
      </w:r>
      <w:r>
        <w:rPr>
          <w:sz w:val="22"/>
        </w:rPr>
        <w:t>Apa yang dimaksud dengan CIA Triad dalam konteks keamanan informasi?</w:t>
      </w:r>
    </w:p>
    <w:p>
      <w:pPr>
        <w:spacing w:after="40"/>
        <w:ind w:left="567"/>
      </w:pPr>
      <w:r>
        <w:rPr>
          <w:sz w:val="21"/>
        </w:rPr>
        <w:t>a) Confidentiality, Integrity, Availability</w:t>
      </w:r>
    </w:p>
    <w:p>
      <w:pPr>
        <w:spacing w:after="40"/>
        <w:ind w:left="567"/>
      </w:pPr>
      <w:r>
        <w:rPr>
          <w:sz w:val="21"/>
        </w:rPr>
        <w:t>b) Computer, Internet, Application</w:t>
      </w:r>
    </w:p>
    <w:p>
      <w:pPr>
        <w:spacing w:after="40"/>
        <w:ind w:left="567"/>
      </w:pPr>
      <w:r>
        <w:rPr>
          <w:sz w:val="21"/>
        </w:rPr>
        <w:t>c) Compliance, Infrastructure, Access</w:t>
      </w:r>
    </w:p>
    <w:p/>
    <w:p>
      <w:pPr>
        <w:spacing w:after="60"/>
      </w:pPr>
      <w:r>
        <w:rPr>
          <w:b/>
          <w:color w:val="00326B"/>
          <w:sz w:val="22"/>
        </w:rPr>
        <w:t xml:space="preserve">Pertanyaan 2: </w:t>
      </w:r>
      <w:r>
        <w:rPr>
          <w:sz w:val="22"/>
        </w:rPr>
        <w:t>Siapa yang bertanggung jawab atas keamanan siber di perusahaan?</w:t>
      </w:r>
    </w:p>
    <w:p>
      <w:pPr>
        <w:spacing w:after="40"/>
        <w:ind w:left="567"/>
      </w:pPr>
      <w:r>
        <w:rPr>
          <w:sz w:val="21"/>
        </w:rPr>
        <w:t>a) Hanya Departemen IT</w:t>
      </w:r>
    </w:p>
    <w:p>
      <w:pPr>
        <w:spacing w:after="40"/>
        <w:ind w:left="567"/>
      </w:pPr>
      <w:r>
        <w:rPr>
          <w:sz w:val="21"/>
        </w:rPr>
        <w:t>b) Hanya Manajemen</w:t>
      </w:r>
    </w:p>
    <w:p>
      <w:pPr>
        <w:spacing w:after="40"/>
        <w:ind w:left="567"/>
      </w:pPr>
      <w:r>
        <w:rPr>
          <w:sz w:val="21"/>
        </w:rPr>
        <w:t>c) Seluruh karyawan tanpa terkecuali</w:t>
      </w:r>
    </w:p>
    <w:p/>
    <w:p>
      <w:pPr>
        <w:spacing w:after="60"/>
      </w:pPr>
      <w:r>
        <w:rPr>
          <w:b/>
          <w:color w:val="00326B"/>
          <w:sz w:val="22"/>
        </w:rPr>
        <w:t xml:space="preserve">Pertanyaan 3: </w:t>
      </w:r>
      <w:r>
        <w:rPr>
          <w:sz w:val="22"/>
        </w:rPr>
        <w:t>Apa tindakan pertama yang harus dilakukan jika Anda menerima email mencurigakan?</w:t>
      </w:r>
    </w:p>
    <w:p>
      <w:pPr>
        <w:spacing w:after="40"/>
        <w:ind w:left="567"/>
      </w:pPr>
      <w:r>
        <w:rPr>
          <w:sz w:val="21"/>
        </w:rPr>
        <w:t>a) Klik tautan di dalamnya untuk memastikan</w:t>
      </w:r>
    </w:p>
    <w:p>
      <w:pPr>
        <w:spacing w:after="40"/>
        <w:ind w:left="567"/>
      </w:pPr>
      <w:r>
        <w:rPr>
          <w:sz w:val="21"/>
        </w:rPr>
        <w:t>b) Hapus email dan laporkan kepada Departemen IT</w:t>
      </w:r>
    </w:p>
    <w:p>
      <w:pPr>
        <w:spacing w:after="40"/>
        <w:ind w:left="567"/>
      </w:pPr>
      <w:r>
        <w:rPr>
          <w:sz w:val="21"/>
        </w:rPr>
        <w:t>c) Teruskan email tersebut ke rekan kerja untuk konfirmasi</w:t>
      </w:r>
    </w:p>
    <w:p/>
    <w:tbl>
      <w:tblPr>
        <w:tblW w:type="auto" w:w="0"/>
        <w:tblBorders>
          <w:top w:val="none"/>
          <w:left w:val="none"/>
          <w:bottom w:val="none"/>
          <w:right w:val="none"/>
          <w:insideH w:val="none"/>
          <w:insideV w:val="none"/>
        </w:tblBorders>
        <w:tblLook w:firstColumn="1" w:firstRow="1" w:lastColumn="0" w:lastRow="0" w:noHBand="0" w:noVBand="1" w:val="04A0"/>
      </w:tblPr>
      <w:tblGrid>
        <w:gridCol w:w="9072"/>
      </w:tblGrid>
      <w:tr>
        <w:tc>
          <w:tcPr>
            <w:tcW w:type="dxa" w:w="9072"/>
            <w:tcBorders>
              <w:top w:val="single" w:sz="8" w:space="0" w:color="007A8A"/>
              <w:left w:val="single" w:sz="8" w:space="0" w:color="007A8A"/>
              <w:bottom w:val="single" w:sz="8" w:space="0" w:color="007A8A"/>
              <w:right w:val="single" w:sz="8" w:space="0" w:color="007A8A"/>
            </w:tcBorders>
            <w:shd w:val="clear" w:color="auto" w:fill="E8F8F5"/>
          </w:tcPr>
          <w:p>
            <w:pPr>
              <w:spacing w:before="80" w:after="80"/>
              <w:jc w:val="left"/>
            </w:pPr>
            <w:r>
              <w:rPr>
                <w:sz w:val="22"/>
              </w:rPr>
              <w:t>KUNCI JAWABAN  1 = a  |  2 = c  |  3 = b</w:t>
              <w:br/>
              <w:t>Jika Anda menjawab benar semua, selamat! Anda sudah memahami dasar-dasar keamanan siber. Lanjutkan ke Modul 2 untuk mempelajari jenis informasi yang harus dijaga dan ancaman yang mengintai.</w:t>
            </w:r>
          </w:p>
        </w:tc>
      </w:tr>
    </w:tbl>
    <w:p/>
    <w:p>
      <w:r>
        <w:br w:type="page"/>
      </w:r>
    </w:p>
    <w:p>
      <w:pPr>
        <w:jc w:val="center"/>
      </w:pPr>
      <w:r>
        <w:rPr>
          <w:color w:val="888888"/>
          <w:sz w:val="18"/>
        </w:rPr>
        <w:t>PT Equity Life Indonesia  |  Cybersecurity Awareness Handbook  |  Modul 1 dari 4</w:t>
      </w:r>
    </w:p>
    <w:p>
      <w:pPr>
        <w:jc w:val="center"/>
      </w:pPr>
      <w:r>
        <w:rPr>
          <w:b/>
          <w:color w:val="007A8A"/>
          <w:sz w:val="22"/>
        </w:rPr>
        <w:t>Modul berikutnya: Modul 2 — Informasi yang Harus Dijaga &amp; Ancaman Cybersecurity</w:t>
      </w:r>
    </w:p>
    <w:sectPr w:rsidR="00FC693F" w:rsidRPr="0006063C" w:rsidSect="00034616">
      <w:headerReference w:type="default" r:id="rId9"/>
      <w:footerReference w:type="default" r:id="rId10"/>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AAAAAA"/>
        <w:sz w:val="16"/>
      </w:rPr>
      <w:t>MODUL 1: Pengantar Cybersecurity | Dokumen Internal PT Equity Life Indonesia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color="007A8A"/>
      </w:pBdr>
    </w:pPr>
    <w:r>
      <w:rPr>
        <w:color w:val="888888"/>
        <w:sz w:val="18"/>
      </w:rPr>
      <w:t>PT Equity Life Indonesia  |  Cybersecurity Awareness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