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003269"/>
        <w:spacing w:before="0" w:after="0"/>
        <w:jc w:val="left"/>
      </w:pPr>
      <w:r>
        <w:rPr>
          <w:b/>
          <w:color w:val="FFFFFF"/>
          <w:sz w:val="22"/>
        </w:rPr>
        <w:t xml:space="preserve">  PT EQUITY LIFE INDONESIA</w:t>
      </w:r>
    </w:p>
    <w:p/>
    <w:p/>
    <w:p>
      <w:pPr>
        <w:jc w:val="center"/>
      </w:pPr>
      <w:r>
        <w:rPr>
          <w:b/>
          <w:color w:val="007A8A"/>
          <w:sz w:val="32"/>
        </w:rPr>
        <w:t>MODUL 4 — PENUTUP</w:t>
      </w:r>
    </w:p>
    <w:p>
      <w:pPr>
        <w:spacing w:before="240"/>
        <w:jc w:val="center"/>
      </w:pPr>
      <w:r>
        <w:rPr>
          <w:b/>
          <w:color w:val="00326B"/>
          <w:sz w:val="64"/>
        </w:rPr>
        <w:t>KOMITMEN BERSAMA</w:t>
      </w:r>
    </w:p>
    <w:p>
      <w:pPr>
        <w:jc w:val="center"/>
      </w:pPr>
      <w:r>
        <w:rPr>
          <w:color w:val="007A8A"/>
          <w:sz w:val="32"/>
        </w:rPr>
        <w:t>Menjaga Keamanan Informasi sebagai Tanggung Jawab Kita</w:t>
      </w:r>
    </w:p>
    <w:p/>
    <w:p/>
    <w:p>
      <w:pPr>
        <w:pBdr>
          <w:bottom w:val="single" w:sz="12" w:color="007A8A"/>
        </w:pBdr>
      </w:pPr>
    </w:p>
    <w:p/>
    <w:p>
      <w:pPr>
        <w:jc w:val="center"/>
      </w:pPr>
      <w:r>
        <w:rPr>
          <w:i/>
          <w:color w:val="00326B"/>
          <w:sz w:val="28"/>
        </w:rPr>
        <w:t>"Informasi adalah aset paling berharga perusahaan. Menjaganya adalah tugas kita semua."</w:t>
      </w:r>
    </w:p>
    <w:p/>
    <w:p/>
    <w:p/>
    <w:p/>
    <w:p/>
    <w:p/>
    <w:p/>
    <w:tbl>
      <w:tblPr>
        <w:tblW w:type="auto" w:w="0"/>
        <w:tblBorders>
          <w:top w:val="none"/>
          <w:left w:val="none"/>
          <w:bottom w:val="none"/>
          <w:right w:val="none"/>
          <w:insideH w:val="none"/>
          <w:insideV w:val="none"/>
        </w:tblBorders>
        <w:tblLook w:firstColumn="1" w:firstRow="1" w:lastColumn="0" w:lastRow="0" w:noHBand="0" w:noVBand="1" w:val="04A0"/>
      </w:tblPr>
      <w:tblGrid>
        <w:gridCol w:w="4536"/>
        <w:gridCol w:w="4536"/>
      </w:tblGrid>
      <w:tr>
        <w:tc>
          <w:tcPr>
            <w:tcW w:type="dxa" w:w="4536"/>
          </w:tcPr>
          <w:p>
            <w:pPr>
              <w:jc w:val="left"/>
            </w:pPr>
            <w:r>
              <w:rPr>
                <w:color w:val="555555"/>
                <w:sz w:val="20"/>
              </w:rPr>
              <w:t>Departemen IT - Information Security</w:t>
              <w:br/>
              <w:t>PT Equity Life Indonesia</w:t>
            </w:r>
          </w:p>
        </w:tc>
        <w:tc>
          <w:tcPr>
            <w:tcW w:type="dxa" w:w="4536"/>
          </w:tcPr>
          <w:p>
            <w:pPr>
              <w:jc w:val="right"/>
            </w:pPr>
            <w:r>
              <w:rPr>
                <w:color w:val="555555"/>
                <w:sz w:val="20"/>
              </w:rPr>
              <w:t>Tahun 2025</w:t>
              <w:br/>
              <w:t>Versi 1.0</w:t>
            </w:r>
          </w:p>
        </w:tc>
      </w:tr>
    </w:tbl>
    <w:p>
      <w:r>
        <w:br w:type="page"/>
      </w:r>
    </w:p>
    <w:p>
      <w:pPr>
        <w:pStyle w:val="Heading1"/>
      </w:pPr>
      <w:r>
        <w:rPr>
          <w:b/>
          <w:color w:val="00326B"/>
          <w:sz w:val="40"/>
        </w:rPr>
        <w:t>Perjalanan Kita Bersama: Rekapitulasi 4 Modul</w:t>
      </w:r>
    </w:p>
    <w:p>
      <w:pPr>
        <w:pBdr>
          <w:bottom w:val="single" w:sz="6" w:space="1" w:color="007A8A"/>
        </w:pBdr>
        <w:spacing w:after="80"/>
      </w:pPr>
    </w:p>
    <w:p>
      <w:pPr>
        <w:spacing w:before="0" w:after="200"/>
        <w:jc w:val="both"/>
      </w:pPr>
      <w:r>
        <w:rPr>
          <w:b w:val="0"/>
          <w:sz w:val="22"/>
        </w:rPr>
        <w:t>Anda telah menyelesaikan empat modul Cybersecurity Awareness Handbook PT Equity Life Indonesia. Selamat! Ini adalah investasi penting—tidak hanya untuk perusahaan, tetapi juga untuk diri Anda sendiri sebagai profesional yang sadar keamanan digital. Mari kita rangkum apa yang telah kita pelajari bersama.</w:t>
      </w:r>
    </w:p>
    <w:tbl>
      <w:tblPr>
        <w:tblStyle w:val="TableGrid"/>
        <w:tblW w:type="auto" w:w="0"/>
        <w:tblLook w:firstColumn="1" w:firstRow="1" w:lastColumn="0" w:lastRow="0" w:noHBand="0" w:noVBand="1" w:val="04A0"/>
      </w:tblPr>
      <w:tblGrid>
        <w:gridCol w:w="4536"/>
        <w:gridCol w:w="4536"/>
      </w:tblGrid>
      <w:tr>
        <w:tc>
          <w:tcPr>
            <w:tcW w:type="dxa" w:w="4536"/>
            <w:shd w:val="clear" w:color="auto" w:fill="003269"/>
          </w:tcPr>
          <w:p>
            <w:pPr>
              <w:spacing w:before="120" w:after="40"/>
              <w:jc w:val="center"/>
            </w:pPr>
            <w:r>
              <w:rPr>
                <w:b/>
                <w:color w:val="FFFFFF"/>
                <w:sz w:val="28"/>
              </w:rPr>
              <w:t>MODUL 1</w:t>
            </w:r>
          </w:p>
          <w:p>
            <w:pPr>
              <w:spacing w:before="0" w:after="120"/>
              <w:jc w:val="center"/>
            </w:pPr>
            <w:r>
              <w:rPr>
                <w:color w:val="CCEEFF"/>
                <w:sz w:val="20"/>
              </w:rPr>
              <w:t>Pengantar Cybersecurity</w:t>
            </w:r>
          </w:p>
        </w:tc>
        <w:tc>
          <w:tcPr>
            <w:tcW w:type="dxa" w:w="4536"/>
          </w:tcPr>
          <w:p>
            <w:pPr>
              <w:spacing w:before="120" w:after="120"/>
              <w:ind w:left="170"/>
              <w:jc w:val="both"/>
            </w:pPr>
            <w:r>
              <w:rPr>
                <w:sz w:val="21"/>
              </w:rPr>
              <w:t>Apa itu cybersecurity, CIA Triad (Confidentiality, Integrity, Availability), mengapa semua karyawan bertanggung jawab, dan prinsip-prinsip dasar perilaku aman di tempat kerja. Keamanan siber bukan hanya urusan IT.</w:t>
            </w:r>
          </w:p>
        </w:tc>
      </w:tr>
      <w:tr>
        <w:tc>
          <w:tcPr>
            <w:tcW w:type="dxa" w:w="4536"/>
            <w:shd w:val="clear" w:color="auto" w:fill="007A8A"/>
          </w:tcPr>
          <w:p>
            <w:pPr>
              <w:spacing w:before="120" w:after="40"/>
              <w:jc w:val="center"/>
            </w:pPr>
            <w:r>
              <w:rPr>
                <w:b/>
                <w:color w:val="FFFFFF"/>
                <w:sz w:val="28"/>
              </w:rPr>
              <w:t>MODUL 2</w:t>
            </w:r>
          </w:p>
          <w:p>
            <w:pPr>
              <w:spacing w:before="0" w:after="120"/>
              <w:jc w:val="center"/>
            </w:pPr>
            <w:r>
              <w:rPr>
                <w:color w:val="CCEEFF"/>
                <w:sz w:val="20"/>
              </w:rPr>
              <w:t>Informasi &amp; Ancaman</w:t>
            </w:r>
          </w:p>
        </w:tc>
        <w:tc>
          <w:tcPr>
            <w:tcW w:type="dxa" w:w="4536"/>
          </w:tcPr>
          <w:p>
            <w:pPr>
              <w:spacing w:before="120" w:after="120"/>
              <w:ind w:left="170"/>
              <w:jc w:val="both"/>
            </w:pPr>
            <w:r>
              <w:rPr>
                <w:sz w:val="21"/>
              </w:rPr>
              <w:t>Klasifikasi informasi (Sangat Rahasia, Rahasia, Internal, Publik), perlindungan data pribadi nasabah, dan lima ancaman utama: Phishing, Malware/Ransomware, Social Engineering, Insider Threat, dan Serangan Password.</w:t>
            </w:r>
          </w:p>
        </w:tc>
      </w:tr>
      <w:tr>
        <w:tc>
          <w:tcPr>
            <w:tcW w:type="dxa" w:w="4536"/>
            <w:shd w:val="clear" w:color="auto" w:fill="6C357A"/>
          </w:tcPr>
          <w:p>
            <w:pPr>
              <w:spacing w:before="120" w:after="40"/>
              <w:jc w:val="center"/>
            </w:pPr>
            <w:r>
              <w:rPr>
                <w:b/>
                <w:color w:val="FFFFFF"/>
                <w:sz w:val="28"/>
              </w:rPr>
              <w:t>MODUL 3</w:t>
            </w:r>
          </w:p>
          <w:p>
            <w:pPr>
              <w:spacing w:before="0" w:after="120"/>
              <w:jc w:val="center"/>
            </w:pPr>
            <w:r>
              <w:rPr>
                <w:color w:val="CCEEFF"/>
                <w:sz w:val="20"/>
              </w:rPr>
              <w:t>Framework Keamanan</w:t>
            </w:r>
          </w:p>
        </w:tc>
        <w:tc>
          <w:tcPr>
            <w:tcW w:type="dxa" w:w="4536"/>
          </w:tcPr>
          <w:p>
            <w:pPr>
              <w:spacing w:before="120" w:after="120"/>
              <w:ind w:left="170"/>
              <w:jc w:val="both"/>
            </w:pPr>
            <w:r>
              <w:rPr>
                <w:sz w:val="21"/>
              </w:rPr>
              <w:t>ISO 27001 (SMKI dan siklus PDCA), ISO 27701 (manajemen privasi data), dan UU PDP No. 27/2022 (kewajiban hukum, hak nasabah, dan sanksi pelanggaran). Kepatuhan adalah fondasi kepercayaan nasabah.</w:t>
            </w:r>
          </w:p>
        </w:tc>
      </w:tr>
      <w:tr>
        <w:tc>
          <w:tcPr>
            <w:tcW w:type="dxa" w:w="4536"/>
            <w:shd w:val="clear" w:color="auto" w:fill="E8860A"/>
          </w:tcPr>
          <w:p>
            <w:pPr>
              <w:spacing w:before="120" w:after="40"/>
              <w:jc w:val="center"/>
            </w:pPr>
            <w:r>
              <w:rPr>
                <w:b/>
                <w:color w:val="FFFFFF"/>
                <w:sz w:val="28"/>
              </w:rPr>
              <w:t>MODUL 4</w:t>
            </w:r>
          </w:p>
          <w:p>
            <w:pPr>
              <w:spacing w:before="0" w:after="120"/>
              <w:jc w:val="center"/>
            </w:pPr>
            <w:r>
              <w:rPr>
                <w:color w:val="CCEEFF"/>
                <w:sz w:val="20"/>
              </w:rPr>
              <w:t>Komitmen Bersama</w:t>
            </w:r>
          </w:p>
        </w:tc>
        <w:tc>
          <w:tcPr>
            <w:tcW w:type="dxa" w:w="4536"/>
          </w:tcPr>
          <w:p>
            <w:pPr>
              <w:spacing w:before="120" w:after="120"/>
              <w:ind w:left="170"/>
              <w:jc w:val="both"/>
            </w:pPr>
            <w:r>
              <w:rPr>
                <w:sz w:val="21"/>
              </w:rPr>
              <w:t>Ajakan untuk menjadikan keamanan informasi sebagai budaya, bukan sekadar kewajiban. Informasi nasabah adalah kepercayaan yang harus kita jaga bersama, setiap hari, di setiap tindakan kita.</w:t>
            </w:r>
          </w:p>
        </w:tc>
      </w:tr>
    </w:tbl>
    <w:p/>
    <w:p>
      <w:r>
        <w:br w:type="page"/>
      </w:r>
    </w:p>
    <w:p>
      <w:pPr>
        <w:pStyle w:val="Heading1"/>
      </w:pPr>
      <w:r>
        <w:rPr>
          <w:b/>
          <w:color w:val="00326B"/>
          <w:sz w:val="40"/>
        </w:rPr>
        <w:t>Informasi: Aset Paling Berharga Perusahaan</w:t>
      </w:r>
    </w:p>
    <w:p>
      <w:pPr>
        <w:pBdr>
          <w:bottom w:val="single" w:sz="6" w:space="1" w:color="007A8A"/>
        </w:pBdr>
        <w:spacing w:after="80"/>
      </w:pPr>
    </w:p>
    <w:p>
      <w:pPr>
        <w:spacing w:before="0" w:after="160"/>
        <w:jc w:val="both"/>
      </w:pPr>
      <w:r>
        <w:rPr>
          <w:b w:val="0"/>
          <w:sz w:val="22"/>
        </w:rPr>
        <w:t>Di era ekonomi digital, data dan informasi adalah mata uang yang paling berharga. Bagi PT Equity Life Indonesia, informasi yang kita kelola setiap hari bukan sekadar data—ini adalah kepercayaan jutaan nasabah yang telah mempercayakan data paling sensitif mereka kepada kita: kesehatan mereka, masa depan finansial keluarga mereka, dan data identitas yang paling personal.</w:t>
      </w:r>
    </w:p>
    <w:p>
      <w:pPr>
        <w:spacing w:before="0" w:after="200"/>
        <w:jc w:val="both"/>
      </w:pPr>
      <w:r>
        <w:rPr>
          <w:b w:val="0"/>
          <w:sz w:val="22"/>
        </w:rPr>
        <w:t>Bayangkan apa yang terjadi jika kepercayaan itu rusak. Seorang nasabah yang mengetahui bahwa data kesehatannya bocor tidak hanya akan kecewa—dia mungkin akan kehilangan rasa percaya seumur hidup. Dan dalam industri asuransi, kepercayaan adalah segalanya. Tanpa kepercayaan, tidak ada bisnis.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003269"/>
          </w:tcPr>
          <w:p>
            <w:pPr>
              <w:spacing w:before="200" w:after="80"/>
              <w:jc w:val="center"/>
            </w:pPr>
            <w:r>
              <w:rPr>
                <w:b/>
                <w:color w:val="FFFFFF"/>
                <w:sz w:val="36"/>
              </w:rPr>
              <w:t>Rp Triliun</w:t>
            </w:r>
          </w:p>
          <w:p>
            <w:pPr>
              <w:spacing w:before="0" w:after="200"/>
              <w:jc w:val="center"/>
            </w:pPr>
            <w:r>
              <w:rPr>
                <w:color w:val="CCEEFF"/>
                <w:sz w:val="20"/>
              </w:rPr>
              <w:t>Nilai data nasabah ELI</w:t>
              <w:br/>
              <w:t>jika terjadi kebocoran</w:t>
            </w:r>
          </w:p>
        </w:tc>
        <w:tc>
          <w:tcPr>
            <w:tcW w:type="dxa" w:w="3024"/>
            <w:shd w:val="clear" w:color="auto" w:fill="C0392B"/>
          </w:tcPr>
          <w:p>
            <w:pPr>
              <w:spacing w:before="200" w:after="80"/>
              <w:jc w:val="center"/>
            </w:pPr>
            <w:r>
              <w:rPr>
                <w:b/>
                <w:color w:val="FFFFFF"/>
                <w:sz w:val="36"/>
              </w:rPr>
              <w:t>Reputasi</w:t>
            </w:r>
          </w:p>
          <w:p>
            <w:pPr>
              <w:spacing w:before="0" w:after="200"/>
              <w:jc w:val="center"/>
            </w:pPr>
            <w:r>
              <w:rPr>
                <w:color w:val="CCEEFF"/>
                <w:sz w:val="20"/>
              </w:rPr>
              <w:t>Yang paling sulit</w:t>
              <w:br/>
              <w:t>dibangun kembali</w:t>
            </w:r>
          </w:p>
        </w:tc>
        <w:tc>
          <w:tcPr>
            <w:tcW w:type="dxa" w:w="3024"/>
            <w:shd w:val="clear" w:color="auto" w:fill="E8860A"/>
          </w:tcPr>
          <w:p>
            <w:pPr>
              <w:spacing w:before="200" w:after="80"/>
              <w:jc w:val="center"/>
            </w:pPr>
            <w:r>
              <w:rPr>
                <w:b/>
                <w:color w:val="FFFFFF"/>
                <w:sz w:val="36"/>
              </w:rPr>
              <w:t>Kepercayaan</w:t>
            </w:r>
          </w:p>
          <w:p>
            <w:pPr>
              <w:spacing w:before="0" w:after="200"/>
              <w:jc w:val="center"/>
            </w:pPr>
            <w:r>
              <w:rPr>
                <w:color w:val="CCEEFF"/>
                <w:sz w:val="20"/>
              </w:rPr>
              <w:t>Fondasi bisnis asuransi</w:t>
              <w:br/>
              <w:t>yang tak ternilai</w:t>
            </w:r>
          </w:p>
        </w:tc>
      </w:tr>
    </w:tbl>
    <w:p/>
    <w:p>
      <w:pPr>
        <w:pStyle w:val="Heading2"/>
      </w:pPr>
      <w:r>
        <w:rPr>
          <w:b/>
          <w:color w:val="007A8A"/>
          <w:sz w:val="30"/>
        </w:rPr>
        <w:t>Mengapa BUKAN Hanya Tanggung Jawab IT</w:t>
      </w:r>
    </w:p>
    <w:p>
      <w:pPr>
        <w:spacing w:before="0" w:after="120"/>
        <w:jc w:val="both"/>
      </w:pPr>
      <w:r>
        <w:rPr>
          <w:b w:val="0"/>
          <w:sz w:val="22"/>
        </w:rPr>
        <w:t>Departemen IT memiliki kemampuan teknis untuk membangun firewall yang kuat, sistem enkripsi yang canggih, dan monitoring 24/7. Tetapi semua itu bisa runtuh seketika ketika seorang karyawan:</w:t>
      </w:r>
    </w:p>
    <w:p>
      <w:pPr>
        <w:spacing w:after="60"/>
        <w:ind w:left="567"/>
      </w:pPr>
      <w:r>
        <w:rPr>
          <w:b/>
          <w:color w:val="C0392B"/>
        </w:rPr>
        <w:t xml:space="preserve">❌  </w:t>
      </w:r>
      <w:r>
        <w:rPr>
          <w:sz w:val="22"/>
        </w:rPr>
        <w:t>Mengklik tautan phishing yang tampak meyakinkan</w:t>
      </w:r>
    </w:p>
    <w:p>
      <w:pPr>
        <w:spacing w:after="60"/>
        <w:ind w:left="567"/>
      </w:pPr>
      <w:r>
        <w:rPr>
          <w:b/>
          <w:color w:val="C0392B"/>
        </w:rPr>
        <w:t xml:space="preserve">❌  </w:t>
      </w:r>
      <w:r>
        <w:rPr>
          <w:sz w:val="22"/>
        </w:rPr>
        <w:t>Menggunakan password '123456' untuk akun sistem kritikal</w:t>
      </w:r>
    </w:p>
    <w:p>
      <w:pPr>
        <w:spacing w:after="60"/>
        <w:ind w:left="567"/>
      </w:pPr>
      <w:r>
        <w:rPr>
          <w:b/>
          <w:color w:val="C0392B"/>
        </w:rPr>
        <w:t xml:space="preserve">❌  </w:t>
      </w:r>
      <w:r>
        <w:rPr>
          <w:sz w:val="22"/>
        </w:rPr>
        <w:t>Membagikan data nasabah melalui WhatsApp karena 'lebih praktis'</w:t>
      </w:r>
    </w:p>
    <w:p>
      <w:pPr>
        <w:spacing w:after="60"/>
        <w:ind w:left="567"/>
      </w:pPr>
      <w:r>
        <w:rPr>
          <w:b/>
          <w:color w:val="C0392B"/>
        </w:rPr>
        <w:t xml:space="preserve">❌  </w:t>
      </w:r>
      <w:r>
        <w:rPr>
          <w:sz w:val="22"/>
        </w:rPr>
        <w:t>Meninggalkan komputer tidak terkunci saat pergi ke toilet</w:t>
      </w:r>
    </w:p>
    <w:p>
      <w:pPr>
        <w:spacing w:after="60"/>
        <w:ind w:left="567"/>
      </w:pPr>
      <w:r>
        <w:rPr>
          <w:b/>
          <w:color w:val="C0392B"/>
        </w:rPr>
        <w:t xml:space="preserve">❌  </w:t>
      </w:r>
      <w:r>
        <w:rPr>
          <w:sz w:val="22"/>
        </w:rPr>
        <w:t>Menyimpan data nasabah di Google Drive pribadi agar 'lebih mudah diakses'</w:t>
      </w:r>
    </w:p>
    <w:p/>
    <w:p>
      <w:pPr>
        <w:spacing w:before="0" w:after="200"/>
        <w:jc w:val="both"/>
      </w:pPr>
      <w:r>
        <w:rPr>
          <w:b w:val="0"/>
          <w:color w:val="00326B"/>
          <w:sz w:val="24"/>
        </w:rPr>
        <w:t>Setiap tindakan di atas—yang mungkin terasa sepele—bisa membuka celah yang dimanfaatkan penyerang untuk menembus sistem sehebat apapun. Inilah mengapa SETIAP karyawan, dari office boy hingga direktur, dari staf admin hingga agen asuransi, adalah bagian dari sistem keamanan perusahaan.</w:t>
      </w:r>
    </w:p>
    <w:p>
      <w:pPr>
        <w:pStyle w:val="Heading1"/>
      </w:pPr>
      <w:r>
        <w:rPr>
          <w:b/>
          <w:color w:val="00326B"/>
          <w:sz w:val="40"/>
        </w:rPr>
        <w:t>Membangun Budaya Keamanan Informasi</w:t>
      </w:r>
    </w:p>
    <w:p>
      <w:pPr>
        <w:pBdr>
          <w:bottom w:val="single" w:sz="6" w:space="1" w:color="007A8A"/>
        </w:pBdr>
        <w:spacing w:after="80"/>
      </w:pPr>
    </w:p>
    <w:p>
      <w:pPr>
        <w:spacing w:before="0" w:after="160"/>
        <w:jc w:val="both"/>
      </w:pPr>
      <w:r>
        <w:rPr>
          <w:b w:val="0"/>
          <w:sz w:val="22"/>
        </w:rPr>
        <w:t>Keamanan informasi yang sejati bukan soal mematuhi aturan karena takut sanksi. Keamanan informasi yang sejati adalah ketika setiap karyawan secara sadar dan sukarela menjaga informasi perusahaan karena mereka memahami nilai dan dampaknya. Inilah yang disebut sebagai budaya keamanan (security culture).</w:t>
      </w:r>
    </w:p>
    <w:p>
      <w:pPr>
        <w:pStyle w:val="Heading2"/>
      </w:pPr>
      <w:r>
        <w:rPr>
          <w:b/>
          <w:color w:val="007A8A"/>
          <w:sz w:val="30"/>
        </w:rPr>
        <w:t>Tiga Pilar Budaya Keamanan</w:t>
      </w:r>
    </w:p>
    <w:p>
      <w:pPr>
        <w:shd w:val="clear" w:color="auto" w:fill="003269"/>
        <w:spacing w:before="200" w:after="0"/>
      </w:pPr>
      <w:r>
        <w:rPr>
          <w:b/>
          <w:color w:val="FFFFFF"/>
          <w:sz w:val="26"/>
        </w:rPr>
        <w:t xml:space="preserve">  SADAR  |  KESADARAN (Awareness)</w:t>
      </w:r>
    </w:p>
    <w:p>
      <w:pPr>
        <w:shd w:val="clear" w:color="auto" w:fill="F5F8FF"/>
        <w:spacing w:before="0" w:after="0"/>
        <w:ind w:left="283" w:right="283"/>
        <w:jc w:val="both"/>
      </w:pPr>
      <w:r>
        <w:rPr>
          <w:sz w:val="22"/>
        </w:rPr>
        <w:t>Pahami ancaman yang ada, kenali tanda-tanda serangan, dan selalu waspada dalam aktivitas digital sehari-hari. Keamanan dimulai dari pikiran yang sadar dan peduli.</w:t>
      </w:r>
    </w:p>
    <w:p/>
    <w:p>
      <w:pPr>
        <w:shd w:val="clear" w:color="auto" w:fill="007A8A"/>
        <w:spacing w:before="200" w:after="0"/>
      </w:pPr>
      <w:r>
        <w:rPr>
          <w:b/>
          <w:color w:val="FFFFFF"/>
          <w:sz w:val="26"/>
        </w:rPr>
        <w:t xml:space="preserve">  PEDULI  |  KEPEDULIAN (Care)</w:t>
      </w:r>
    </w:p>
    <w:p>
      <w:pPr>
        <w:shd w:val="clear" w:color="auto" w:fill="F5F8FF"/>
        <w:spacing w:before="0" w:after="0"/>
        <w:ind w:left="283" w:right="283"/>
        <w:jc w:val="both"/>
      </w:pPr>
      <w:r>
        <w:rPr>
          <w:sz w:val="22"/>
        </w:rPr>
        <w:t>Perlakukan data nasabah seperti data Anda sendiri yang paling berharga. Jika Anda tidak ingin data pribadi Anda bocor, pastikan data nasabah pun tidak bocor. Empati adalah fondasi keamanan.</w:t>
      </w:r>
    </w:p>
    <w:p/>
    <w:p>
      <w:pPr>
        <w:shd w:val="clear" w:color="auto" w:fill="E8860A"/>
        <w:spacing w:before="200" w:after="0"/>
      </w:pPr>
      <w:r>
        <w:rPr>
          <w:b/>
          <w:color w:val="FFFFFF"/>
          <w:sz w:val="26"/>
        </w:rPr>
        <w:t xml:space="preserve">  BERTINDAK  |  TINDAKAN (Action)</w:t>
      </w:r>
    </w:p>
    <w:p>
      <w:pPr>
        <w:shd w:val="clear" w:color="auto" w:fill="F5F8FF"/>
        <w:spacing w:before="0" w:after="0"/>
        <w:ind w:left="283" w:right="283"/>
        <w:jc w:val="both"/>
      </w:pPr>
      <w:r>
        <w:rPr>
          <w:sz w:val="22"/>
        </w:rPr>
        <w:t>Kesadaran tanpa tindakan tidak berarti. Laporkan anomali, ikuti prosedur, gunakan password yang kuat, kunci layar, dan jadikan perilaku aman sebagai kebiasaan otomatis setiap hari.</w:t>
      </w:r>
    </w:p>
    <w:p/>
    <w:p>
      <w:r>
        <w:br w:type="page"/>
      </w:r>
    </w:p>
    <w:p>
      <w:pPr>
        <w:pStyle w:val="Heading1"/>
      </w:pPr>
      <w:r>
        <w:rPr>
          <w:b/>
          <w:color w:val="00326B"/>
          <w:sz w:val="40"/>
        </w:rPr>
        <w:t>Panduan Cepat: 10 Kebiasaan Aman Setiap Hari</w:t>
      </w:r>
    </w:p>
    <w:p>
      <w:pPr>
        <w:pBdr>
          <w:bottom w:val="single" w:sz="6" w:space="1" w:color="007A8A"/>
        </w:pBdr>
        <w:spacing w:after="80"/>
      </w:pPr>
    </w:p>
    <w:p>
      <w:pPr>
        <w:spacing w:before="0" w:after="160"/>
        <w:jc w:val="both"/>
      </w:pPr>
      <w:r>
        <w:rPr>
          <w:b w:val="0"/>
          <w:sz w:val="22"/>
        </w:rPr>
        <w:t>Keamanan informasi tidak harus rumit. Dengan 10 kebiasaan sederhana berikut, Anda sudah berkontribusi besar dalam melindungi aset informasi PT Equity Life Indonesia:</w:t>
      </w:r>
    </w:p>
    <w:tbl>
      <w:tblPr>
        <w:tblW w:type="auto" w:w="0"/>
        <w:tblBorders>
          <w:top w:val="none"/>
          <w:left w:val="none"/>
          <w:bottom w:val="none"/>
          <w:right w:val="none"/>
          <w:insideH w:val="none"/>
          <w:insideV w:val="none"/>
        </w:tblBorders>
        <w:tblLook w:firstColumn="1" w:firstRow="1" w:lastColumn="0" w:lastRow="0" w:noHBand="0" w:noVBand="1" w:val="04A0"/>
      </w:tblPr>
      <w:tblGrid>
        <w:gridCol w:w="4536"/>
        <w:gridCol w:w="4536"/>
      </w:tblGrid>
      <w:tr>
        <w:tc>
          <w:tcPr>
            <w:tcW w:type="dxa" w:w="4536"/>
            <w:shd w:val="clear" w:color="auto" w:fill="003269"/>
          </w:tcPr>
          <w:p>
            <w:pPr>
              <w:spacing w:before="160" w:after="160"/>
              <w:jc w:val="center"/>
            </w:pPr>
            <w:r>
              <w:rPr>
                <w:b/>
                <w:color w:val="FFFFFF"/>
                <w:sz w:val="40"/>
              </w:rPr>
              <w:t>1</w:t>
            </w:r>
          </w:p>
        </w:tc>
        <w:tc>
          <w:tcPr>
            <w:tcW w:type="dxa" w:w="4536"/>
            <w:shd w:val="clear" w:color="auto" w:fill="F5F8FF"/>
          </w:tcPr>
          <w:p>
            <w:pPr>
              <w:spacing w:before="80" w:after="40"/>
              <w:ind w:left="170"/>
            </w:pPr>
            <w:r>
              <w:rPr>
                <w:b/>
                <w:color w:val="00326B"/>
                <w:sz w:val="22"/>
              </w:rPr>
              <w:t>Kunci Layar Saat Meninggalkan Meja</w:t>
            </w:r>
          </w:p>
          <w:p>
            <w:pPr>
              <w:spacing w:before="0" w:after="120"/>
              <w:ind w:left="170"/>
              <w:jc w:val="both"/>
            </w:pPr>
            <w:r>
              <w:rPr>
                <w:sz w:val="20"/>
              </w:rPr>
              <w:t>Selalu tekan Windows+L atau Cmd+Ctrl+Q saat meninggalkan komputer, meskipun hanya 2 menit.</w:t>
            </w:r>
          </w:p>
        </w:tc>
      </w:tr>
    </w:tbl>
    <w:p/>
    <w:tbl>
      <w:tblPr>
        <w:tblW w:type="auto" w:w="0"/>
        <w:tblBorders>
          <w:top w:val="none"/>
          <w:left w:val="none"/>
          <w:bottom w:val="none"/>
          <w:right w:val="none"/>
          <w:insideH w:val="none"/>
          <w:insideV w:val="none"/>
        </w:tblBorders>
        <w:tblLook w:firstColumn="1" w:firstRow="1" w:lastColumn="0" w:lastRow="0" w:noHBand="0" w:noVBand="1" w:val="04A0"/>
      </w:tblPr>
      <w:tblGrid>
        <w:gridCol w:w="4536"/>
        <w:gridCol w:w="4536"/>
      </w:tblGrid>
      <w:tr>
        <w:tc>
          <w:tcPr>
            <w:tcW w:type="dxa" w:w="4536"/>
            <w:shd w:val="clear" w:color="auto" w:fill="003269"/>
          </w:tcPr>
          <w:p>
            <w:pPr>
              <w:spacing w:before="160" w:after="160"/>
              <w:jc w:val="center"/>
            </w:pPr>
            <w:r>
              <w:rPr>
                <w:b/>
                <w:color w:val="FFFFFF"/>
                <w:sz w:val="40"/>
              </w:rPr>
              <w:t>2</w:t>
            </w:r>
          </w:p>
        </w:tc>
        <w:tc>
          <w:tcPr>
            <w:tcW w:type="dxa" w:w="4536"/>
            <w:shd w:val="clear" w:color="auto" w:fill="F5F8FF"/>
          </w:tcPr>
          <w:p>
            <w:pPr>
              <w:spacing w:before="80" w:after="40"/>
              <w:ind w:left="170"/>
            </w:pPr>
            <w:r>
              <w:rPr>
                <w:b/>
                <w:color w:val="00326B"/>
                <w:sz w:val="22"/>
              </w:rPr>
              <w:t>Gunakan Password yang Kuat &amp; Unik</w:t>
            </w:r>
          </w:p>
          <w:p>
            <w:pPr>
              <w:spacing w:before="0" w:after="120"/>
              <w:ind w:left="170"/>
              <w:jc w:val="both"/>
            </w:pPr>
            <w:r>
              <w:rPr>
                <w:sz w:val="20"/>
              </w:rPr>
              <w:t>Minimal 12 karakter, kombinasi huruf besar-kecil-angka-simbol. Berbeda untuk setiap akun.</w:t>
            </w:r>
          </w:p>
        </w:tc>
      </w:tr>
    </w:tbl>
    <w:p/>
    <w:tbl>
      <w:tblPr>
        <w:tblW w:type="auto" w:w="0"/>
        <w:tblBorders>
          <w:top w:val="none"/>
          <w:left w:val="none"/>
          <w:bottom w:val="none"/>
          <w:right w:val="none"/>
          <w:insideH w:val="none"/>
          <w:insideV w:val="none"/>
        </w:tblBorders>
        <w:tblLook w:firstColumn="1" w:firstRow="1" w:lastColumn="0" w:lastRow="0" w:noHBand="0" w:noVBand="1" w:val="04A0"/>
      </w:tblPr>
      <w:tblGrid>
        <w:gridCol w:w="4536"/>
        <w:gridCol w:w="4536"/>
      </w:tblGrid>
      <w:tr>
        <w:tc>
          <w:tcPr>
            <w:tcW w:type="dxa" w:w="4536"/>
            <w:shd w:val="clear" w:color="auto" w:fill="003269"/>
          </w:tcPr>
          <w:p>
            <w:pPr>
              <w:spacing w:before="160" w:after="160"/>
              <w:jc w:val="center"/>
            </w:pPr>
            <w:r>
              <w:rPr>
                <w:b/>
                <w:color w:val="FFFFFF"/>
                <w:sz w:val="40"/>
              </w:rPr>
              <w:t>3</w:t>
            </w:r>
          </w:p>
        </w:tc>
        <w:tc>
          <w:tcPr>
            <w:tcW w:type="dxa" w:w="4536"/>
            <w:shd w:val="clear" w:color="auto" w:fill="F5F8FF"/>
          </w:tcPr>
          <w:p>
            <w:pPr>
              <w:spacing w:before="80" w:after="40"/>
              <w:ind w:left="170"/>
            </w:pPr>
            <w:r>
              <w:rPr>
                <w:b/>
                <w:color w:val="00326B"/>
                <w:sz w:val="22"/>
              </w:rPr>
              <w:t>Hati-Hati Sebelum Klik Tautan</w:t>
            </w:r>
          </w:p>
          <w:p>
            <w:pPr>
              <w:spacing w:before="0" w:after="120"/>
              <w:ind w:left="170"/>
              <w:jc w:val="both"/>
            </w:pPr>
            <w:r>
              <w:rPr>
                <w:sz w:val="20"/>
              </w:rPr>
              <w:t>Hover dulu di atas tautan untuk melihat URL aslinya. Jika ragu, jangan klik.</w:t>
            </w:r>
          </w:p>
        </w:tc>
      </w:tr>
    </w:tbl>
    <w:p/>
    <w:tbl>
      <w:tblPr>
        <w:tblW w:type="auto" w:w="0"/>
        <w:tblBorders>
          <w:top w:val="none"/>
          <w:left w:val="none"/>
          <w:bottom w:val="none"/>
          <w:right w:val="none"/>
          <w:insideH w:val="none"/>
          <w:insideV w:val="none"/>
        </w:tblBorders>
        <w:tblLook w:firstColumn="1" w:firstRow="1" w:lastColumn="0" w:lastRow="0" w:noHBand="0" w:noVBand="1" w:val="04A0"/>
      </w:tblPr>
      <w:tblGrid>
        <w:gridCol w:w="4536"/>
        <w:gridCol w:w="4536"/>
      </w:tblGrid>
      <w:tr>
        <w:tc>
          <w:tcPr>
            <w:tcW w:type="dxa" w:w="4536"/>
            <w:shd w:val="clear" w:color="auto" w:fill="007A8A"/>
          </w:tcPr>
          <w:p>
            <w:pPr>
              <w:spacing w:before="160" w:after="160"/>
              <w:jc w:val="center"/>
            </w:pPr>
            <w:r>
              <w:rPr>
                <w:b/>
                <w:color w:val="FFFFFF"/>
                <w:sz w:val="40"/>
              </w:rPr>
              <w:t>4</w:t>
            </w:r>
          </w:p>
        </w:tc>
        <w:tc>
          <w:tcPr>
            <w:tcW w:type="dxa" w:w="4536"/>
            <w:shd w:val="clear" w:color="auto" w:fill="F5F8FF"/>
          </w:tcPr>
          <w:p>
            <w:pPr>
              <w:spacing w:before="80" w:after="40"/>
              <w:ind w:left="170"/>
            </w:pPr>
            <w:r>
              <w:rPr>
                <w:b/>
                <w:color w:val="00326B"/>
                <w:sz w:val="22"/>
              </w:rPr>
              <w:t>Verifikasi Sebelum Berbagi Informasi</w:t>
            </w:r>
          </w:p>
          <w:p>
            <w:pPr>
              <w:spacing w:before="0" w:after="120"/>
              <w:ind w:left="170"/>
              <w:jc w:val="both"/>
            </w:pPr>
            <w:r>
              <w:rPr>
                <w:sz w:val="20"/>
              </w:rPr>
              <w:t>Jika ada permintaan data yang tidak biasa, verifikasi melalui saluran resmi terlebih dahulu.</w:t>
            </w:r>
          </w:p>
        </w:tc>
      </w:tr>
    </w:tbl>
    <w:p/>
    <w:tbl>
      <w:tblPr>
        <w:tblW w:type="auto" w:w="0"/>
        <w:tblBorders>
          <w:top w:val="none"/>
          <w:left w:val="none"/>
          <w:bottom w:val="none"/>
          <w:right w:val="none"/>
          <w:insideH w:val="none"/>
          <w:insideV w:val="none"/>
        </w:tblBorders>
        <w:tblLook w:firstColumn="1" w:firstRow="1" w:lastColumn="0" w:lastRow="0" w:noHBand="0" w:noVBand="1" w:val="04A0"/>
      </w:tblPr>
      <w:tblGrid>
        <w:gridCol w:w="4536"/>
        <w:gridCol w:w="4536"/>
      </w:tblGrid>
      <w:tr>
        <w:tc>
          <w:tcPr>
            <w:tcW w:type="dxa" w:w="4536"/>
            <w:shd w:val="clear" w:color="auto" w:fill="007A8A"/>
          </w:tcPr>
          <w:p>
            <w:pPr>
              <w:spacing w:before="160" w:after="160"/>
              <w:jc w:val="center"/>
            </w:pPr>
            <w:r>
              <w:rPr>
                <w:b/>
                <w:color w:val="FFFFFF"/>
                <w:sz w:val="40"/>
              </w:rPr>
              <w:t>5</w:t>
            </w:r>
          </w:p>
        </w:tc>
        <w:tc>
          <w:tcPr>
            <w:tcW w:type="dxa" w:w="4536"/>
            <w:shd w:val="clear" w:color="auto" w:fill="F5F8FF"/>
          </w:tcPr>
          <w:p>
            <w:pPr>
              <w:spacing w:before="80" w:after="40"/>
              <w:ind w:left="170"/>
            </w:pPr>
            <w:r>
              <w:rPr>
                <w:b/>
                <w:color w:val="00326B"/>
                <w:sz w:val="22"/>
              </w:rPr>
              <w:t>Jangan Gunakan Wi-Fi Publik untuk Data Sensitif</w:t>
            </w:r>
          </w:p>
          <w:p>
            <w:pPr>
              <w:spacing w:before="0" w:after="120"/>
              <w:ind w:left="170"/>
              <w:jc w:val="both"/>
            </w:pPr>
            <w:r>
              <w:rPr>
                <w:sz w:val="20"/>
              </w:rPr>
              <w:t>Wi-Fi publik tidak aman. Gunakan VPN perusahaan jika harus mengakses sistem dari luar kantor.</w:t>
            </w:r>
          </w:p>
        </w:tc>
      </w:tr>
    </w:tbl>
    <w:p/>
    <w:tbl>
      <w:tblPr>
        <w:tblW w:type="auto" w:w="0"/>
        <w:tblBorders>
          <w:top w:val="none"/>
          <w:left w:val="none"/>
          <w:bottom w:val="none"/>
          <w:right w:val="none"/>
          <w:insideH w:val="none"/>
          <w:insideV w:val="none"/>
        </w:tblBorders>
        <w:tblLook w:firstColumn="1" w:firstRow="1" w:lastColumn="0" w:lastRow="0" w:noHBand="0" w:noVBand="1" w:val="04A0"/>
      </w:tblPr>
      <w:tblGrid>
        <w:gridCol w:w="4536"/>
        <w:gridCol w:w="4536"/>
      </w:tblGrid>
      <w:tr>
        <w:tc>
          <w:tcPr>
            <w:tcW w:type="dxa" w:w="4536"/>
            <w:shd w:val="clear" w:color="auto" w:fill="007A8A"/>
          </w:tcPr>
          <w:p>
            <w:pPr>
              <w:spacing w:before="160" w:after="160"/>
              <w:jc w:val="center"/>
            </w:pPr>
            <w:r>
              <w:rPr>
                <w:b/>
                <w:color w:val="FFFFFF"/>
                <w:sz w:val="40"/>
              </w:rPr>
              <w:t>6</w:t>
            </w:r>
          </w:p>
        </w:tc>
        <w:tc>
          <w:tcPr>
            <w:tcW w:type="dxa" w:w="4536"/>
            <w:shd w:val="clear" w:color="auto" w:fill="F5F8FF"/>
          </w:tcPr>
          <w:p>
            <w:pPr>
              <w:spacing w:before="80" w:after="40"/>
              <w:ind w:left="170"/>
            </w:pPr>
            <w:r>
              <w:rPr>
                <w:b/>
                <w:color w:val="00326B"/>
                <w:sz w:val="22"/>
              </w:rPr>
              <w:t>Backup Data Secara Rutin</w:t>
            </w:r>
          </w:p>
          <w:p>
            <w:pPr>
              <w:spacing w:before="0" w:after="120"/>
              <w:ind w:left="170"/>
              <w:jc w:val="both"/>
            </w:pPr>
            <w:r>
              <w:rPr>
                <w:sz w:val="20"/>
              </w:rPr>
              <w:t>Ikuti prosedur backup yang ditetapkan IT. Backup adalah pertahanan terakhir melawan ransomware.</w:t>
            </w:r>
          </w:p>
        </w:tc>
      </w:tr>
    </w:tbl>
    <w:p/>
    <w:tbl>
      <w:tblPr>
        <w:tblW w:type="auto" w:w="0"/>
        <w:tblBorders>
          <w:top w:val="none"/>
          <w:left w:val="none"/>
          <w:bottom w:val="none"/>
          <w:right w:val="none"/>
          <w:insideH w:val="none"/>
          <w:insideV w:val="none"/>
        </w:tblBorders>
        <w:tblLook w:firstColumn="1" w:firstRow="1" w:lastColumn="0" w:lastRow="0" w:noHBand="0" w:noVBand="1" w:val="04A0"/>
      </w:tblPr>
      <w:tblGrid>
        <w:gridCol w:w="4536"/>
        <w:gridCol w:w="4536"/>
      </w:tblGrid>
      <w:tr>
        <w:tc>
          <w:tcPr>
            <w:tcW w:type="dxa" w:w="4536"/>
            <w:shd w:val="clear" w:color="auto" w:fill="E8860A"/>
          </w:tcPr>
          <w:p>
            <w:pPr>
              <w:spacing w:before="160" w:after="160"/>
              <w:jc w:val="center"/>
            </w:pPr>
            <w:r>
              <w:rPr>
                <w:b/>
                <w:color w:val="FFFFFF"/>
                <w:sz w:val="40"/>
              </w:rPr>
              <w:t>7</w:t>
            </w:r>
          </w:p>
        </w:tc>
        <w:tc>
          <w:tcPr>
            <w:tcW w:type="dxa" w:w="4536"/>
            <w:shd w:val="clear" w:color="auto" w:fill="F5F8FF"/>
          </w:tcPr>
          <w:p>
            <w:pPr>
              <w:spacing w:before="80" w:after="40"/>
              <w:ind w:left="170"/>
            </w:pPr>
            <w:r>
              <w:rPr>
                <w:b/>
                <w:color w:val="00326B"/>
                <w:sz w:val="22"/>
              </w:rPr>
              <w:t>Update Sistem dan Aplikasi</w:t>
            </w:r>
          </w:p>
          <w:p>
            <w:pPr>
              <w:spacing w:before="0" w:after="120"/>
              <w:ind w:left="170"/>
              <w:jc w:val="both"/>
            </w:pPr>
            <w:r>
              <w:rPr>
                <w:sz w:val="20"/>
              </w:rPr>
              <w:t>Jangan tunda update. Pembaruan keamanan menutup celah yang bisa dieksploitasi penyerang.</w:t>
            </w:r>
          </w:p>
        </w:tc>
      </w:tr>
    </w:tbl>
    <w:p/>
    <w:tbl>
      <w:tblPr>
        <w:tblW w:type="auto" w:w="0"/>
        <w:tblBorders>
          <w:top w:val="none"/>
          <w:left w:val="none"/>
          <w:bottom w:val="none"/>
          <w:right w:val="none"/>
          <w:insideH w:val="none"/>
          <w:insideV w:val="none"/>
        </w:tblBorders>
        <w:tblLook w:firstColumn="1" w:firstRow="1" w:lastColumn="0" w:lastRow="0" w:noHBand="0" w:noVBand="1" w:val="04A0"/>
      </w:tblPr>
      <w:tblGrid>
        <w:gridCol w:w="4536"/>
        <w:gridCol w:w="4536"/>
      </w:tblGrid>
      <w:tr>
        <w:tc>
          <w:tcPr>
            <w:tcW w:type="dxa" w:w="4536"/>
            <w:shd w:val="clear" w:color="auto" w:fill="E8860A"/>
          </w:tcPr>
          <w:p>
            <w:pPr>
              <w:spacing w:before="160" w:after="160"/>
              <w:jc w:val="center"/>
            </w:pPr>
            <w:r>
              <w:rPr>
                <w:b/>
                <w:color w:val="FFFFFF"/>
                <w:sz w:val="40"/>
              </w:rPr>
              <w:t>8</w:t>
            </w:r>
          </w:p>
        </w:tc>
        <w:tc>
          <w:tcPr>
            <w:tcW w:type="dxa" w:w="4536"/>
            <w:shd w:val="clear" w:color="auto" w:fill="F5F8FF"/>
          </w:tcPr>
          <w:p>
            <w:pPr>
              <w:spacing w:before="80" w:after="40"/>
              <w:ind w:left="170"/>
            </w:pPr>
            <w:r>
              <w:rPr>
                <w:b/>
                <w:color w:val="00326B"/>
                <w:sz w:val="22"/>
              </w:rPr>
              <w:t>Bersihkan Meja dari Dokumen Sensitif</w:t>
            </w:r>
          </w:p>
          <w:p>
            <w:pPr>
              <w:spacing w:before="0" w:after="120"/>
              <w:ind w:left="170"/>
              <w:jc w:val="both"/>
            </w:pPr>
            <w:r>
              <w:rPr>
                <w:sz w:val="20"/>
              </w:rPr>
              <w:t>Terapkan clean desk policy. Simpan atau musnahkan dokumen sensitif yang tidak lagi dibutuhkan.</w:t>
            </w:r>
          </w:p>
        </w:tc>
      </w:tr>
    </w:tbl>
    <w:p/>
    <w:tbl>
      <w:tblPr>
        <w:tblW w:type="auto" w:w="0"/>
        <w:tblBorders>
          <w:top w:val="none"/>
          <w:left w:val="none"/>
          <w:bottom w:val="none"/>
          <w:right w:val="none"/>
          <w:insideH w:val="none"/>
          <w:insideV w:val="none"/>
        </w:tblBorders>
        <w:tblLook w:firstColumn="1" w:firstRow="1" w:lastColumn="0" w:lastRow="0" w:noHBand="0" w:noVBand="1" w:val="04A0"/>
      </w:tblPr>
      <w:tblGrid>
        <w:gridCol w:w="4536"/>
        <w:gridCol w:w="4536"/>
      </w:tblGrid>
      <w:tr>
        <w:tc>
          <w:tcPr>
            <w:tcW w:type="dxa" w:w="4536"/>
            <w:shd w:val="clear" w:color="auto" w:fill="E8860A"/>
          </w:tcPr>
          <w:p>
            <w:pPr>
              <w:spacing w:before="160" w:after="160"/>
              <w:jc w:val="center"/>
            </w:pPr>
            <w:r>
              <w:rPr>
                <w:b/>
                <w:color w:val="FFFFFF"/>
                <w:sz w:val="40"/>
              </w:rPr>
              <w:t>9</w:t>
            </w:r>
          </w:p>
        </w:tc>
        <w:tc>
          <w:tcPr>
            <w:tcW w:type="dxa" w:w="4536"/>
            <w:shd w:val="clear" w:color="auto" w:fill="F5F8FF"/>
          </w:tcPr>
          <w:p>
            <w:pPr>
              <w:spacing w:before="80" w:after="40"/>
              <w:ind w:left="170"/>
            </w:pPr>
            <w:r>
              <w:rPr>
                <w:b/>
                <w:color w:val="00326B"/>
                <w:sz w:val="22"/>
              </w:rPr>
              <w:t>Laporkan Insiden Segera</w:t>
            </w:r>
          </w:p>
          <w:p>
            <w:pPr>
              <w:spacing w:before="0" w:after="120"/>
              <w:ind w:left="170"/>
              <w:jc w:val="both"/>
            </w:pPr>
            <w:r>
              <w:rPr>
                <w:sz w:val="20"/>
              </w:rPr>
              <w:t>Jika ada yang mencurigakan, laporkan ke IT secepatnya. Lebih baik terlambat dari tidak sama sekali.</w:t>
            </w:r>
          </w:p>
        </w:tc>
      </w:tr>
    </w:tbl>
    <w:p/>
    <w:tbl>
      <w:tblPr>
        <w:tblW w:type="auto" w:w="0"/>
        <w:tblBorders>
          <w:top w:val="none"/>
          <w:left w:val="none"/>
          <w:bottom w:val="none"/>
          <w:right w:val="none"/>
          <w:insideH w:val="none"/>
          <w:insideV w:val="none"/>
        </w:tblBorders>
        <w:tblLook w:firstColumn="1" w:firstRow="1" w:lastColumn="0" w:lastRow="0" w:noHBand="0" w:noVBand="1" w:val="04A0"/>
      </w:tblPr>
      <w:tblGrid>
        <w:gridCol w:w="4536"/>
        <w:gridCol w:w="4536"/>
      </w:tblGrid>
      <w:tr>
        <w:tc>
          <w:tcPr>
            <w:tcW w:type="dxa" w:w="4536"/>
            <w:shd w:val="clear" w:color="auto" w:fill="1A8C4E"/>
          </w:tcPr>
          <w:p>
            <w:pPr>
              <w:spacing w:before="160" w:after="160"/>
              <w:jc w:val="center"/>
            </w:pPr>
            <w:r>
              <w:rPr>
                <w:b/>
                <w:color w:val="FFFFFF"/>
                <w:sz w:val="40"/>
              </w:rPr>
              <w:t>10</w:t>
            </w:r>
          </w:p>
        </w:tc>
        <w:tc>
          <w:tcPr>
            <w:tcW w:type="dxa" w:w="4536"/>
            <w:shd w:val="clear" w:color="auto" w:fill="F5F8FF"/>
          </w:tcPr>
          <w:p>
            <w:pPr>
              <w:spacing w:before="80" w:after="40"/>
              <w:ind w:left="170"/>
            </w:pPr>
            <w:r>
              <w:rPr>
                <w:b/>
                <w:color w:val="00326B"/>
                <w:sz w:val="22"/>
              </w:rPr>
              <w:t>Terus Belajar dan Update Pengetahuan</w:t>
            </w:r>
          </w:p>
          <w:p>
            <w:pPr>
              <w:spacing w:before="0" w:after="120"/>
              <w:ind w:left="170"/>
              <w:jc w:val="both"/>
            </w:pPr>
            <w:r>
              <w:rPr>
                <w:sz w:val="20"/>
              </w:rPr>
              <w:t>Ancaman siber terus berkembang. Ikuti training, baca update keamanan, dan bagikan informasi kepada rekan kerja.</w:t>
            </w:r>
          </w:p>
        </w:tc>
      </w:tr>
    </w:tbl>
    <w:p/>
    <w:p>
      <w:pPr>
        <w:pStyle w:val="Heading1"/>
      </w:pPr>
      <w:r>
        <w:rPr>
          <w:b/>
          <w:color w:val="00326B"/>
          <w:sz w:val="40"/>
        </w:rPr>
        <w:t>Siapa yang Harus Dihubungi?</w:t>
      </w:r>
    </w:p>
    <w:p>
      <w:pPr>
        <w:pBdr>
          <w:bottom w:val="single" w:sz="6" w:space="1" w:color="007A8A"/>
        </w:pBdr>
        <w:spacing w:after="80"/>
      </w:pPr>
    </w:p>
    <w:p>
      <w:pPr>
        <w:spacing w:before="0" w:after="160"/>
        <w:jc w:val="both"/>
      </w:pPr>
      <w:r>
        <w:rPr>
          <w:b w:val="0"/>
          <w:sz w:val="22"/>
        </w:rPr>
        <w:t>Jika Anda menemukan atau mencurigai insiden keamanan, jangan tunggu dan jangan panik. Hubungi tim yang tepat segera:</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003269"/>
          </w:tcPr>
          <w:p>
            <w:pPr>
              <w:spacing w:before="80" w:after="80"/>
              <w:jc w:val="center"/>
            </w:pPr>
            <w:r>
              <w:rPr>
                <w:b/>
                <w:color w:val="FFFFFF"/>
                <w:sz w:val="22"/>
              </w:rPr>
              <w:t>Situasi</w:t>
            </w:r>
          </w:p>
        </w:tc>
        <w:tc>
          <w:tcPr>
            <w:tcW w:type="dxa" w:w="3024"/>
            <w:shd w:val="clear" w:color="auto" w:fill="003269"/>
          </w:tcPr>
          <w:p>
            <w:pPr>
              <w:spacing w:before="80" w:after="80"/>
              <w:jc w:val="center"/>
            </w:pPr>
            <w:r>
              <w:rPr>
                <w:b/>
                <w:color w:val="FFFFFF"/>
                <w:sz w:val="22"/>
              </w:rPr>
              <w:t>Hubungi</w:t>
            </w:r>
          </w:p>
        </w:tc>
        <w:tc>
          <w:tcPr>
            <w:tcW w:type="dxa" w:w="3024"/>
            <w:shd w:val="clear" w:color="auto" w:fill="003269"/>
          </w:tcPr>
          <w:p>
            <w:pPr>
              <w:spacing w:before="80" w:after="80"/>
              <w:jc w:val="center"/>
            </w:pPr>
            <w:r>
              <w:rPr>
                <w:b/>
                <w:color w:val="FFFFFF"/>
                <w:sz w:val="22"/>
              </w:rPr>
              <w:t>Cara Menghubungi</w:t>
            </w:r>
          </w:p>
        </w:tc>
      </w:tr>
      <w:tr>
        <w:tc>
          <w:tcPr>
            <w:tcW w:type="dxa" w:w="3024"/>
            <w:shd w:val="clear" w:color="auto" w:fill="EBF3FF"/>
          </w:tcPr>
          <w:p>
            <w:pPr>
              <w:spacing w:before="80" w:after="80"/>
              <w:jc w:val="both"/>
            </w:pPr>
            <w:r>
              <w:rPr>
                <w:sz w:val="20"/>
              </w:rPr>
              <w:t>Email phishing, tautan mencurigakan, lampiran berbahaya</w:t>
            </w:r>
          </w:p>
        </w:tc>
        <w:tc>
          <w:tcPr>
            <w:tcW w:type="dxa" w:w="3024"/>
            <w:shd w:val="clear" w:color="auto" w:fill="EBF3FF"/>
          </w:tcPr>
          <w:p>
            <w:pPr>
              <w:spacing w:before="80" w:after="80"/>
              <w:jc w:val="both"/>
            </w:pPr>
            <w:r>
              <w:rPr>
                <w:b/>
                <w:color w:val="00326B"/>
                <w:sz w:val="20"/>
              </w:rPr>
              <w:t>IT Helpdesk / IT Security</w:t>
            </w:r>
          </w:p>
        </w:tc>
        <w:tc>
          <w:tcPr>
            <w:tcW w:type="dxa" w:w="3024"/>
            <w:shd w:val="clear" w:color="auto" w:fill="EBF3FF"/>
          </w:tcPr>
          <w:p>
            <w:pPr>
              <w:spacing w:before="80" w:after="80"/>
              <w:jc w:val="both"/>
            </w:pPr>
            <w:r>
              <w:rPr>
                <w:sz w:val="20"/>
              </w:rPr>
              <w:t>Email: it-security@equitylife.co.id</w:t>
              <w:br/>
              <w:t>Telepon: ext. [sesuaikan]</w:t>
              <w:br/>
              <w:t>WA/Teams: [sesuaikan]</w:t>
            </w:r>
          </w:p>
        </w:tc>
      </w:tr>
      <w:tr>
        <w:tc>
          <w:tcPr>
            <w:tcW w:type="dxa" w:w="3024"/>
            <w:shd w:val="clear" w:color="auto" w:fill="FFFFFF"/>
          </w:tcPr>
          <w:p>
            <w:pPr>
              <w:spacing w:before="80" w:after="80"/>
              <w:jc w:val="both"/>
            </w:pPr>
            <w:r>
              <w:rPr>
                <w:sz w:val="20"/>
              </w:rPr>
              <w:t>Komputer berperilaku aneh, suspect malware, ransomware</w:t>
            </w:r>
          </w:p>
        </w:tc>
        <w:tc>
          <w:tcPr>
            <w:tcW w:type="dxa" w:w="3024"/>
            <w:shd w:val="clear" w:color="auto" w:fill="FFFFFF"/>
          </w:tcPr>
          <w:p>
            <w:pPr>
              <w:spacing w:before="80" w:after="80"/>
              <w:jc w:val="both"/>
            </w:pPr>
            <w:r>
              <w:rPr>
                <w:b/>
                <w:color w:val="00326B"/>
                <w:sz w:val="20"/>
              </w:rPr>
              <w:t>IT Security (SEGERA)</w:t>
            </w:r>
          </w:p>
        </w:tc>
        <w:tc>
          <w:tcPr>
            <w:tcW w:type="dxa" w:w="3024"/>
            <w:shd w:val="clear" w:color="auto" w:fill="FFFFFF"/>
          </w:tcPr>
          <w:p>
            <w:pPr>
              <w:spacing w:before="80" w:after="80"/>
              <w:jc w:val="both"/>
            </w:pPr>
            <w:r>
              <w:rPr>
                <w:sz w:val="20"/>
              </w:rPr>
              <w:t>Matikan koneksi internet dulu, lalu hubungi IT Security segera via telepon internal.</w:t>
            </w:r>
          </w:p>
        </w:tc>
      </w:tr>
      <w:tr>
        <w:tc>
          <w:tcPr>
            <w:tcW w:type="dxa" w:w="3024"/>
            <w:shd w:val="clear" w:color="auto" w:fill="EBF3FF"/>
          </w:tcPr>
          <w:p>
            <w:pPr>
              <w:spacing w:before="80" w:after="80"/>
              <w:jc w:val="both"/>
            </w:pPr>
            <w:r>
              <w:rPr>
                <w:sz w:val="20"/>
              </w:rPr>
              <w:t>Kebocoran atau dugaan akses data nasabah tanpa izin</w:t>
            </w:r>
          </w:p>
        </w:tc>
        <w:tc>
          <w:tcPr>
            <w:tcW w:type="dxa" w:w="3024"/>
            <w:shd w:val="clear" w:color="auto" w:fill="EBF3FF"/>
          </w:tcPr>
          <w:p>
            <w:pPr>
              <w:spacing w:before="80" w:after="80"/>
              <w:jc w:val="both"/>
            </w:pPr>
            <w:r>
              <w:rPr>
                <w:b/>
                <w:color w:val="00326B"/>
                <w:sz w:val="20"/>
              </w:rPr>
              <w:t>IT Security + Atasan Langsung</w:t>
            </w:r>
          </w:p>
        </w:tc>
        <w:tc>
          <w:tcPr>
            <w:tcW w:type="dxa" w:w="3024"/>
            <w:shd w:val="clear" w:color="auto" w:fill="EBF3FF"/>
          </w:tcPr>
          <w:p>
            <w:pPr>
              <w:spacing w:before="80" w:after="80"/>
              <w:jc w:val="both"/>
            </w:pPr>
            <w:r>
              <w:rPr>
                <w:sz w:val="20"/>
              </w:rPr>
              <w:t>Laporkan secara bersamaan ke IT Security dan atasan langsung Anda. Jangan tunggu.</w:t>
            </w:r>
          </w:p>
        </w:tc>
      </w:tr>
    </w:tbl>
    <w:p/>
    <w:p>
      <w:r>
        <w:br w:type="page"/>
      </w:r>
    </w:p>
    <w:p>
      <w:pPr>
        <w:pStyle w:val="Heading1"/>
      </w:pPr>
      <w:r>
        <w:rPr>
          <w:b/>
          <w:color w:val="00326B"/>
          <w:sz w:val="40"/>
        </w:rPr>
        <w:t>Surat Komitmen Keamanan Informasi</w:t>
      </w:r>
    </w:p>
    <w:p>
      <w:pPr>
        <w:pBdr>
          <w:bottom w:val="single" w:sz="6" w:space="1" w:color="007A8A"/>
        </w:pBdr>
        <w:spacing w:after="80"/>
      </w:pPr>
    </w:p>
    <w:p>
      <w:pPr>
        <w:spacing w:before="0" w:after="200"/>
        <w:jc w:val="both"/>
      </w:pPr>
      <w:r>
        <w:rPr>
          <w:b w:val="0"/>
          <w:sz w:val="22"/>
        </w:rPr>
        <w:t>Dengan menyelesaikan program Cybersecurity Awareness ini, Anda diajak untuk membuat komitmen pribadi dalam menjaga keamanan informasi PT Equity Life Indonesia. Komitmen ini bukan sekadar formalitas—ini adalah janji kepada nasabah kita, kepada rekan kerja kita, dan kepada diri kita sendiri sebagai profesional yang bertanggung jawab.</w:t>
      </w:r>
    </w:p>
    <w:p>
      <w:pPr>
        <w:shd w:val="clear" w:color="auto" w:fill="003269"/>
        <w:spacing w:before="160" w:after="0"/>
        <w:jc w:val="center"/>
      </w:pPr>
      <w:r>
        <w:rPr>
          <w:b/>
          <w:color w:val="FFFFFF"/>
          <w:sz w:val="26"/>
        </w:rPr>
        <w:t xml:space="preserve">  KOMITMEN SAYA SEBAGAI KARYAWAN PT EQUITY LIFE INDONESIA  </w:t>
      </w:r>
    </w:p>
    <w:p>
      <w:pPr>
        <w:shd w:val="clear" w:color="auto" w:fill="EBF3FF"/>
        <w:spacing w:before="0" w:after="0"/>
        <w:ind w:left="283"/>
        <w:jc w:val="both"/>
      </w:pPr>
      <w:r>
        <w:rPr>
          <w:sz w:val="22"/>
        </w:rPr>
        <w:t>✔  Saya akan memperlakukan data nasabah dengan penuh tanggung jawab dan kerahasiaan tertinggi.</w:t>
      </w:r>
    </w:p>
    <w:p>
      <w:pPr>
        <w:shd w:val="clear" w:color="auto" w:fill="EBF3FF"/>
        <w:spacing w:before="0" w:after="0"/>
        <w:ind w:left="283"/>
        <w:jc w:val="both"/>
      </w:pPr>
      <w:r>
        <w:rPr>
          <w:sz w:val="22"/>
        </w:rPr>
        <w:t>✔  Saya akan selalu waspada terhadap ancaman siber dan tidak akan terburu-buru dalam bertindak.</w:t>
      </w:r>
    </w:p>
    <w:p>
      <w:pPr>
        <w:shd w:val="clear" w:color="auto" w:fill="EBF3FF"/>
        <w:spacing w:before="0" w:after="0"/>
        <w:ind w:left="283"/>
        <w:jc w:val="both"/>
      </w:pPr>
      <w:r>
        <w:rPr>
          <w:sz w:val="22"/>
        </w:rPr>
        <w:t>✔  Saya akan melaporkan insiden keamanan atau kecurigaan kepada IT Security sesegera mungkin.</w:t>
      </w:r>
    </w:p>
    <w:p>
      <w:pPr>
        <w:shd w:val="clear" w:color="auto" w:fill="EBF3FF"/>
        <w:spacing w:before="0" w:after="0"/>
        <w:ind w:left="283"/>
        <w:jc w:val="both"/>
      </w:pPr>
      <w:r>
        <w:rPr>
          <w:sz w:val="22"/>
        </w:rPr>
        <w:t>✔  Saya akan mengikuti semua kebijakan dan prosedur keamanan informasi yang berlaku.</w:t>
      </w:r>
    </w:p>
    <w:p>
      <w:pPr>
        <w:shd w:val="clear" w:color="auto" w:fill="EBF3FF"/>
        <w:spacing w:before="0" w:after="0"/>
        <w:ind w:left="283"/>
        <w:jc w:val="both"/>
      </w:pPr>
      <w:r>
        <w:rPr>
          <w:sz w:val="22"/>
        </w:rPr>
        <w:t>✔  Saya akan terus meningkatkan pengetahuan saya tentang keamanan siber.</w:t>
      </w:r>
    </w:p>
    <w:p>
      <w:pPr>
        <w:shd w:val="clear" w:color="auto" w:fill="EBF3FF"/>
        <w:spacing w:before="0" w:after="0"/>
        <w:ind w:left="283"/>
        <w:jc w:val="both"/>
      </w:pPr>
      <w:r>
        <w:rPr>
          <w:sz w:val="22"/>
        </w:rPr>
        <w:t>✔  Saya memahami bahwa keamanan informasi adalah tanggung jawab saya—bukan hanya tanggung jawab IT.</w:t>
      </w:r>
    </w:p>
    <w:p/>
    <w:tbl>
      <w:tblPr>
        <w:tblW w:type="auto" w:w="0"/>
        <w:tblBorders>
          <w:top w:val="none"/>
          <w:left w:val="none"/>
          <w:bottom w:val="none"/>
          <w:right w:val="none"/>
          <w:insideH w:val="none"/>
          <w:insideV w:val="none"/>
        </w:tblBorders>
        <w:tblLook w:firstColumn="1" w:firstRow="1" w:lastColumn="0" w:lastRow="0" w:noHBand="0" w:noVBand="1" w:val="04A0"/>
      </w:tblPr>
      <w:tblGrid>
        <w:gridCol w:w="3024"/>
        <w:gridCol w:w="3024"/>
        <w:gridCol w:w="3024"/>
      </w:tblGrid>
      <w:tr>
        <w:tc>
          <w:tcPr>
            <w:tcW w:type="dxa" w:w="3024"/>
            <w:shd w:val="clear" w:color="auto" w:fill="F0F0F0"/>
          </w:tcPr>
          <w:p>
            <w:pPr>
              <w:spacing w:before="80" w:after="80"/>
              <w:jc w:val="center"/>
            </w:pPr>
            <w:r>
              <w:rPr>
                <w:b/>
                <w:color w:val="00326B"/>
                <w:sz w:val="20"/>
              </w:rPr>
              <w:t>Nama Lengkap</w:t>
            </w:r>
          </w:p>
        </w:tc>
        <w:tc>
          <w:tcPr>
            <w:tcW w:type="dxa" w:w="3024"/>
            <w:shd w:val="clear" w:color="auto" w:fill="F0F0F0"/>
          </w:tcPr>
          <w:p>
            <w:pPr>
              <w:spacing w:before="80" w:after="80"/>
              <w:jc w:val="center"/>
            </w:pPr>
            <w:r>
              <w:rPr>
                <w:b/>
                <w:color w:val="00326B"/>
                <w:sz w:val="20"/>
              </w:rPr>
              <w:t>Departemen / Divisi</w:t>
            </w:r>
          </w:p>
        </w:tc>
        <w:tc>
          <w:tcPr>
            <w:tcW w:type="dxa" w:w="3024"/>
            <w:shd w:val="clear" w:color="auto" w:fill="F0F0F0"/>
          </w:tcPr>
          <w:p>
            <w:pPr>
              <w:spacing w:before="80" w:after="80"/>
              <w:jc w:val="center"/>
            </w:pPr>
            <w:r>
              <w:rPr>
                <w:b/>
                <w:color w:val="00326B"/>
                <w:sz w:val="20"/>
              </w:rPr>
              <w:t>Tanggal &amp; Tanda Tangan</w:t>
            </w:r>
          </w:p>
        </w:tc>
      </w:tr>
      <w:tr>
        <w:tc>
          <w:tcPr>
            <w:tcW w:type="dxa" w:w="3024"/>
          </w:tcPr>
          <w:p>
            <w:pPr>
              <w:spacing w:before="600" w:after="80"/>
              <w:jc w:val="center"/>
              <w:pBdr>
                <w:bottom w:val="single" w:sz="6" w:color="003269"/>
              </w:pBdr>
            </w:pPr>
          </w:p>
        </w:tc>
        <w:tc>
          <w:tcPr>
            <w:tcW w:type="dxa" w:w="3024"/>
          </w:tcPr>
          <w:p>
            <w:pPr>
              <w:spacing w:before="600" w:after="80"/>
              <w:jc w:val="center"/>
              <w:pBdr>
                <w:bottom w:val="single" w:sz="6" w:color="003269"/>
              </w:pBdr>
            </w:pPr>
          </w:p>
        </w:tc>
        <w:tc>
          <w:tcPr>
            <w:tcW w:type="dxa" w:w="3024"/>
          </w:tcPr>
          <w:p>
            <w:pPr>
              <w:spacing w:before="600" w:after="80"/>
              <w:jc w:val="center"/>
              <w:pBdr>
                <w:bottom w:val="single" w:sz="6" w:color="003269"/>
              </w:pBdr>
            </w:pPr>
          </w:p>
        </w:tc>
      </w:tr>
    </w:tbl>
    <w:p/>
    <w:p>
      <w:pPr>
        <w:pStyle w:val="Heading1"/>
      </w:pPr>
      <w:r>
        <w:rPr>
          <w:b/>
          <w:color w:val="00326B"/>
          <w:sz w:val="40"/>
        </w:rPr>
        <w:t>Kata Penutup</w:t>
      </w:r>
    </w:p>
    <w:p>
      <w:pPr>
        <w:pBdr>
          <w:bottom w:val="single" w:sz="6" w:space="1" w:color="007A8A"/>
        </w:pBdr>
        <w:spacing w:after="80"/>
      </w:pPr>
    </w:p>
    <w:p>
      <w:pPr>
        <w:spacing w:before="0" w:after="160"/>
        <w:jc w:val="both"/>
      </w:pPr>
      <w:r>
        <w:rPr>
          <w:b w:val="0"/>
          <w:sz w:val="22"/>
        </w:rPr>
        <w:t>Ancaman siber tidak akan berhenti—bahkan terus berkembang seiring kemajuan teknologi. Tetapi kita pun terus berkembang. Dengan program Cybersecurity Awareness ini, PT Equity Life Indonesia berinvestasi pada aset paling berharga yang kita miliki: manusia. Karena pada akhirnya, teknologi sekuat apapun hanya bisa melindungi sebatas yang manusia di baliknya izinkan.</w:t>
      </w:r>
    </w:p>
    <w:p>
      <w:pPr>
        <w:spacing w:before="0" w:after="160"/>
        <w:jc w:val="both"/>
      </w:pPr>
      <w:r>
        <w:rPr>
          <w:b w:val="0"/>
          <w:sz w:val="22"/>
        </w:rPr>
        <w:t>Anda kini bukan lagi karyawan biasa. Anda adalah bagian dari garis pertahanan pertama PT Equity Life Indonesia. Anda adalah penjaga kepercayaan jutaan nasabah yang mengandalkan kita untuk melindungi data mereka yang paling sensitif.</w:t>
      </w:r>
    </w:p>
    <w:p>
      <w:pPr>
        <w:spacing w:before="0" w:after="160"/>
        <w:jc w:val="both"/>
      </w:pPr>
      <w:r>
        <w:rPr>
          <w:b w:val="0"/>
          <w:sz w:val="22"/>
        </w:rPr>
        <w:t>Mulai hari ini, setiap kali Anda mengunci layar komputer, memeriksa alamat email pengirim sebelum mengklik, atau melaporkan email mencurigakan kepada IT—Anda sedang melakukan sesuatu yang berarti. Sesuatu yang melindungi nasabah, melindungi perusahaan, dan melindungi rekan-rekan Anda.</w:t>
      </w:r>
    </w:p>
    <w:p>
      <w:pPr>
        <w:spacing w:before="0" w:after="80"/>
        <w:jc w:val="center"/>
      </w:pPr>
      <w:r>
        <w:rPr>
          <w:b/>
          <w:color w:val="00326B"/>
          <w:sz w:val="28"/>
        </w:rPr>
        <w:t>Bersama, kita jaga kepercayaan itu.</w:t>
      </w:r>
    </w:p>
    <w:p>
      <w:pPr>
        <w:spacing w:before="0" w:after="400"/>
        <w:jc w:val="center"/>
      </w:pPr>
      <w:r>
        <w:rPr>
          <w:b w:val="0"/>
          <w:color w:val="007A8A"/>
          <w:sz w:val="22"/>
        </w:rPr>
        <w:t>— PT Equity Life Indonesia, Departemen IT Security —</w:t>
      </w:r>
    </w:p>
    <w:p/>
    <w:p>
      <w:pPr>
        <w:shd w:val="clear" w:color="auto" w:fill="003269"/>
        <w:spacing w:before="160" w:after="0"/>
        <w:jc w:val="center"/>
      </w:pPr>
      <w:r>
        <w:rPr>
          <w:b/>
          <w:color w:val="FFFFFF"/>
          <w:sz w:val="26"/>
        </w:rPr>
        <w:t xml:space="preserve">  KEAMANAN INFORMASI ADALAH TANGGUNG JAWAB KITA BERSAMA  </w:t>
        <w:br/>
        <w:t xml:space="preserve">  Bukan hanya IT. Bukan hanya Manajemen. Semua dari kita.  </w:t>
      </w:r>
    </w:p>
    <w:p/>
    <w:p>
      <w:pPr>
        <w:pStyle w:val="Heading2"/>
      </w:pPr>
      <w:r>
        <w:rPr>
          <w:b/>
          <w:color w:val="007A8A"/>
          <w:sz w:val="30"/>
        </w:rPr>
        <w:t>Kartu Referensi Cepat — Simpan &amp; Bagikan!</w:t>
      </w:r>
    </w:p>
    <w:tbl>
      <w:tblPr>
        <w:tblStyle w:val="TableGrid"/>
        <w:tblW w:type="auto" w:w="0"/>
        <w:tblLook w:firstColumn="1" w:firstRow="1" w:lastColumn="0" w:lastRow="0" w:noHBand="0" w:noVBand="1" w:val="04A0"/>
      </w:tblPr>
      <w:tblGrid>
        <w:gridCol w:w="4536"/>
        <w:gridCol w:w="4536"/>
      </w:tblGrid>
      <w:tr>
        <w:tc>
          <w:tcPr>
            <w:tcW w:type="dxa" w:w="4536"/>
            <w:shd w:val="clear" w:color="auto" w:fill="1A8C4E"/>
            <w:shd w:val="clear" w:color="auto" w:fill="F5F8FF"/>
          </w:tcPr>
          <w:p>
            <w:pPr>
              <w:spacing w:before="80" w:after="80"/>
              <w:jc w:val="center"/>
            </w:pPr>
            <w:r>
              <w:rPr>
                <w:b/>
                <w:color w:val="FFFFFF"/>
                <w:sz w:val="24"/>
              </w:rPr>
              <w:t>LAKUKAN</w:t>
            </w:r>
          </w:p>
          <w:p>
            <w:pPr>
              <w:shd w:val="clear" w:color="auto" w:fill="F5F8FF"/>
              <w:spacing w:before="80" w:after="80"/>
              <w:ind w:left="283"/>
            </w:pPr>
            <w:r>
              <w:rPr>
                <w:sz w:val="20"/>
              </w:rPr>
              <w:t>✔ Kunci layar saat meninggalkan meja</w:t>
              <w:br/>
              <w:t>✔ Gunakan password kuat &amp; unik</w:t>
              <w:br/>
              <w:t>✔ Verifikasi pengirim sebelum klik</w:t>
              <w:br/>
              <w:t>✔ Simpan data nasabah di sistem resmi</w:t>
              <w:br/>
              <w:t>✔ Laporkan insiden ke IT segera</w:t>
              <w:br/>
              <w:t>✔ Update sistem secara rutin</w:t>
            </w:r>
          </w:p>
        </w:tc>
        <w:tc>
          <w:tcPr>
            <w:tcW w:type="dxa" w:w="4536"/>
            <w:shd w:val="clear" w:color="auto" w:fill="C0392B"/>
            <w:shd w:val="clear" w:color="auto" w:fill="F5F8FF"/>
          </w:tcPr>
          <w:p>
            <w:pPr>
              <w:spacing w:before="80" w:after="80"/>
              <w:jc w:val="center"/>
            </w:pPr>
            <w:r>
              <w:rPr>
                <w:b/>
                <w:color w:val="FFFFFF"/>
                <w:sz w:val="24"/>
              </w:rPr>
              <w:t>JANGAN</w:t>
            </w:r>
          </w:p>
          <w:p>
            <w:pPr>
              <w:shd w:val="clear" w:color="auto" w:fill="F5F8FF"/>
              <w:spacing w:before="80" w:after="80"/>
              <w:ind w:left="283"/>
            </w:pPr>
            <w:r>
              <w:rPr>
                <w:sz w:val="20"/>
              </w:rPr>
              <w:t>✖ Bagikan password kepada siapapun</w:t>
              <w:br/>
              <w:t>✖ Klik tautan tanpa diperiksa dulu</w:t>
              <w:br/>
              <w:t>✖ Simpan data nasabah di perangkat/cloud pribadi</w:t>
              <w:br/>
              <w:t>✖ Buka lampiran dari pengirim tidak dikenal</w:t>
              <w:br/>
              <w:t>✖ Gunakan Wi-Fi publik untuk data sensitif</w:t>
              <w:br/>
              <w:t>✖ Abaikan kecurigaan — selalu laporkan</w:t>
            </w:r>
          </w:p>
        </w:tc>
      </w:tr>
      <w:tr>
        <w:tc>
          <w:tcPr>
            <w:tcW w:type="dxa" w:w="4536"/>
            <w:shd w:val="clear" w:color="auto" w:fill="003269"/>
            <w:shd w:val="clear" w:color="auto" w:fill="F5F8FF"/>
          </w:tcPr>
          <w:p>
            <w:pPr>
              <w:spacing w:before="80" w:after="80"/>
              <w:jc w:val="center"/>
            </w:pPr>
            <w:r>
              <w:rPr>
                <w:b/>
                <w:color w:val="FFFFFF"/>
                <w:sz w:val="24"/>
              </w:rPr>
              <w:t>JIKA TERJADI INSIDEN</w:t>
            </w:r>
          </w:p>
          <w:p>
            <w:pPr>
              <w:shd w:val="clear" w:color="auto" w:fill="F5F8FF"/>
              <w:spacing w:before="80" w:after="80"/>
              <w:ind w:left="283"/>
            </w:pPr>
            <w:r>
              <w:rPr>
                <w:sz w:val="20"/>
              </w:rPr>
              <w:t>1. BERHENTI — jangan panik, jangan klik apapun lagi</w:t>
              <w:br/>
              <w:t>2. CATAT — waktu kejadian, apa yang dilihat</w:t>
              <w:br/>
              <w:t>3. LAPORKAN — hubungi IT Security secepatnya</w:t>
              <w:br/>
              <w:t>4. JANGAN hapus bukti — biarkan IT yang menangani</w:t>
              <w:br/>
              <w:t>5. IKUTI instruksi IT — kooperatif dalam penanganan</w:t>
            </w:r>
          </w:p>
        </w:tc>
        <w:tc>
          <w:tcPr>
            <w:tcW w:type="dxa" w:w="4536"/>
            <w:shd w:val="clear" w:color="auto" w:fill="E8860A"/>
            <w:shd w:val="clear" w:color="auto" w:fill="F5F8FF"/>
          </w:tcPr>
          <w:p>
            <w:pPr>
              <w:spacing w:before="80" w:after="80"/>
              <w:jc w:val="center"/>
            </w:pPr>
            <w:r>
              <w:rPr>
                <w:b/>
                <w:color w:val="FFFFFF"/>
                <w:sz w:val="24"/>
              </w:rPr>
              <w:t>INGAT SELALU</w:t>
            </w:r>
          </w:p>
          <w:p>
            <w:pPr>
              <w:shd w:val="clear" w:color="auto" w:fill="F5F8FF"/>
              <w:spacing w:before="80" w:after="80"/>
              <w:ind w:left="283"/>
            </w:pPr>
            <w:r>
              <w:rPr>
                <w:sz w:val="20"/>
              </w:rPr>
              <w:t>⚠ IT tidak pernah meminta password Anda</w:t>
              <w:br/>
              <w:t>⚠ Institusi resmi tidak meminta data via link dadakan</w:t>
              <w:br/>
              <w:t>⚠ Jika terlalu bagus untuk jadi kenyataan — itu penipuan</w:t>
              <w:br/>
              <w:t>⚠ Lapor cepat lebih baik dari diam</w:t>
              <w:br/>
              <w:t>⚠ Keamanan adalah budaya, bukan beban</w:t>
            </w:r>
          </w:p>
        </w:tc>
      </w:tr>
      <w:tr>
        <w:tc>
          <w:tcPr>
            <w:tcW w:type="dxa" w:w="4536"/>
          </w:tcPr>
          <w:p/>
        </w:tc>
        <w:tc>
          <w:tcPr>
            <w:tcW w:type="dxa" w:w="4536"/>
          </w:tcPr>
          <w:p/>
        </w:tc>
      </w:tr>
    </w:tbl>
    <w:p/>
    <w:p>
      <w:pPr>
        <w:jc w:val="center"/>
      </w:pPr>
      <w:r>
        <w:rPr>
          <w:color w:val="888888"/>
          <w:sz w:val="18"/>
        </w:rPr>
        <w:t>PT Equity Life Indonesia  |  Cybersecurity Awareness Handbook  |  Modul 4 dari 4  |  SELESAI</w:t>
      </w:r>
    </w:p>
    <w:sectPr w:rsidR="00FC693F" w:rsidRPr="0006063C" w:rsidSect="00034616">
      <w:headerReference w:type="default" r:id="rId9"/>
      <w:footerReference w:type="default" r:id="rId10"/>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AAAAAA"/>
        <w:sz w:val="16"/>
      </w:rPr>
      <w:t>MODUL 4: Komitmen Bersama | Dokumen Internal PT Equity Life Indonesia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88888"/>
        <w:sz w:val="18"/>
      </w:rPr>
      <w:t>PT Equity Life Indonesia  |  Cybersecurity Awareness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A1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