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20"/>
        <w:jc w:val="center"/>
      </w:pPr>
      <w:r>
        <w:rPr>
          <w:rFonts w:ascii="Arial" w:cs="Arial" w:eastAsia="Arial" w:hAnsi="Arial"/>
          <w:b/>
          <w:bCs/>
          <w:color w:val="1F3864"/>
          <w:sz w:val="56"/>
          <w:szCs w:val="56"/>
        </w:rPr>
        <w:t xml:space="preserve">DOKUMEN KONTEKS ORGANISASI</w:t>
      </w:r>
    </w:p>
    <w:p>
      <w:pPr>
        <w:spacing w:before="0" w:after="120"/>
        <w:jc w:val="center"/>
      </w:pPr>
      <w:r>
        <w:rPr>
          <w:rFonts w:ascii="Arial" w:cs="Arial" w:eastAsia="Arial" w:hAnsi="Arial"/>
          <w:i/>
          <w:iCs/>
          <w:color w:val="2E75B6"/>
          <w:sz w:val="34"/>
          <w:szCs w:val="34"/>
        </w:rPr>
        <w:t xml:space="preserve">Sistem Manajemen Keamanan Informasi (SMKI)</w:t>
      </w:r>
    </w:p>
    <w:p>
      <w:pPr>
        <w:spacing w:before="0" w:after="600"/>
        <w:jc w:val="center"/>
      </w:pPr>
      <w:r>
        <w:rPr>
          <w:rFonts w:ascii="Arial" w:cs="Arial" w:eastAsia="Arial" w:hAnsi="Arial"/>
          <w:color w:val="595959"/>
          <w:sz w:val="28"/>
          <w:szCs w:val="28"/>
        </w:rPr>
        <w:t xml:space="preserve">ISO/IEC 27001:2022 — Klausul 4</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Nomor Dokumen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SMKI-KO-001</w:t>
            </w:r>
          </w:p>
        </w:tc>
      </w:tr>
      <w:tr>
        <w:tc>
          <w:tcPr>
            <w:tcW w:type="dxa" w:w="28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w:t>
            </w:r>
          </w:p>
        </w:tc>
        <w:tc>
          <w:tcPr>
            <w:tcW w:type="dxa" w:w="5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1.0</w:t>
            </w:r>
          </w:p>
        </w:tc>
      </w:tr>
      <w:tr>
        <w:tc>
          <w:tcPr>
            <w:tcW w:type="dxa" w:w="2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Tanggal Berlaku</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[Tanggal]</w:t>
            </w:r>
          </w:p>
        </w:tc>
      </w:tr>
      <w:tr>
        <w:tc>
          <w:tcPr>
            <w:tcW w:type="dxa" w:w="28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Referensi Standar</w:t>
            </w:r>
          </w:p>
        </w:tc>
        <w:tc>
          <w:tcPr>
            <w:tcW w:type="dxa" w:w="5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ISO/IEC 27001:2022 Klausul 4.1, 4.2, 4.3, 4.4</w:t>
            </w:r>
          </w:p>
        </w:tc>
      </w:tr>
      <w:tr>
        <w:tc>
          <w:tcPr>
            <w:tcW w:type="dxa" w:w="2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Pemilik Dokumen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CTISO — Chief Technology &amp; Information Security Officer</w:t>
            </w:r>
          </w:p>
        </w:tc>
      </w:tr>
      <w:tr>
        <w:tc>
          <w:tcPr>
            <w:tcW w:type="dxa" w:w="28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Klasifikasi</w:t>
            </w:r>
          </w:p>
        </w:tc>
        <w:tc>
          <w:tcPr>
            <w:tcW w:type="dxa" w:w="5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Rahasia (Confidential)</w:t>
            </w:r>
          </w:p>
        </w:tc>
      </w:tr>
      <w:tr>
        <w:tc>
          <w:tcPr>
            <w:tcW w:type="dxa" w:w="2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Disetujui Oleh</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President Director / CEO</w:t>
            </w:r>
          </w:p>
        </w:tc>
      </w:tr>
    </w:tbl>
    <w:p>
      <w:r>
        <w:br w:type="page"/>
      </w:r>
    </w:p>
    <w:p>
      <w:pPr>
        <w:pStyle w:val="Heading1"/>
        <w:spacing w:before="480" w:after="160"/>
      </w:pPr>
      <w:r>
        <w:rPr>
          <w:rFonts w:ascii="Arial" w:cs="Arial" w:eastAsia="Arial" w:hAnsi="Arial"/>
          <w:b/>
          <w:bCs/>
          <w:color w:val="1F3864"/>
          <w:sz w:val="34"/>
          <w:szCs w:val="34"/>
        </w:rPr>
        <w:t xml:space="preserve">1. Pendahuluan dan Tujuan</w:t>
      </w:r>
    </w:p>
    <w:p>
      <w:pPr>
        <w:spacing w:before="80" w:after="80"/>
      </w:pPr>
      <w:r>
        <w:rPr>
          <w:rFonts w:ascii="Arial" w:cs="Arial" w:eastAsia="Arial" w:hAnsi="Arial"/>
          <w:sz w:val="22"/>
          <w:szCs w:val="22"/>
        </w:rPr>
        <w:t xml:space="preserve">Dokumen ini menetapkan konteks organisasi PT Asuransi [Nama Perusahaan] dalam kerangka Sistem Manajemen Keamanan Informasi (SMKI) sesuai ISO/IEC 27001:2022. Dokumen mencakup pemahaman tentang isu-isu internal dan eksternal yang relevan, kebutuhan pemangku kepentingan, serta ruang lingkup penerapan SMKI.</w:t>
      </w:r>
    </w:p>
    <w:p>
      <w:pPr>
        <w:spacing w:before="80" w:after="80"/>
      </w:pPr>
      <w:r>
        <w:rPr>
          <w:rFonts w:ascii="Arial" w:cs="Arial" w:eastAsia="Arial" w:hAnsi="Arial"/>
          <w:sz w:val="22"/>
          <w:szCs w:val="22"/>
        </w:rPr>
        <w:t xml:space="preserve">Sebagai perusahaan asuransi jiwa yang mengelola data polis jutaan nasabah, aset informasi merupakan aset strategis yang harus dilindungi secara ketat dari ancaman yang terus berkembang, termasuk ancaman siber, perubahan regulasi, dan dampak perubahan iklim terhadap kelangsungan operasional.</w:t>
      </w:r>
    </w:p>
    <w:p>
      <w:pPr>
        <w:spacing w:before="80" w:after="0"/>
      </w:pPr>
      <w:r>
        <w:t xml:space="preserve"/>
      </w:r>
    </w:p>
    <w:p>
      <w:pPr>
        <w:pStyle w:val="Heading1"/>
        <w:spacing w:before="480" w:after="160"/>
      </w:pPr>
      <w:r>
        <w:rPr>
          <w:rFonts w:ascii="Arial" w:cs="Arial" w:eastAsia="Arial" w:hAnsi="Arial"/>
          <w:b/>
          <w:bCs/>
          <w:color w:val="1F3864"/>
          <w:sz w:val="34"/>
          <w:szCs w:val="34"/>
        </w:rPr>
        <w:t xml:space="preserve">2. Profil Organisasi</w:t>
      </w:r>
    </w:p>
    <w:p>
      <w:pPr>
        <w:pStyle w:val="Heading2"/>
        <w:spacing w:before="320" w:after="120"/>
      </w:pPr>
      <w:r>
        <w:rPr>
          <w:rFonts w:ascii="Arial" w:cs="Arial" w:eastAsia="Arial" w:hAnsi="Arial"/>
          <w:b/>
          <w:bCs/>
          <w:color w:val="2E75B6"/>
          <w:sz w:val="26"/>
          <w:szCs w:val="26"/>
        </w:rPr>
        <w:t xml:space="preserve">2.1 Gambaran Umum Perusahaan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Aspek</w:t>
            </w:r>
          </w:p>
        </w:tc>
        <w:tc>
          <w:tcPr>
            <w:tcW w:type="dxa" w:w="6426"/>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Keterangan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20"/>
                <w:szCs w:val="20"/>
              </w:rPr>
              <w:t xml:space="preserve">Nama Perusahaan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PT Asuransi [Nama Perusahaan]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20"/>
                <w:szCs w:val="20"/>
              </w:rPr>
              <w:t xml:space="preserve">Sektor Bisnis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Asuransi Jiwa (Life Insurance)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20"/>
                <w:szCs w:val="20"/>
              </w:rPr>
              <w:t xml:space="preserve">Produk Utama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Asuransi Jiwa Individual, Asuransi Jiwa Kumpulan (Institutional), Produk Investasi (Unit Link)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20"/>
                <w:szCs w:val="20"/>
              </w:rPr>
              <w:t xml:space="preserve">Saluran Distribusi</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Agency, Bancassurance (Bank Partnership), Digital Acquisition, Corporate Direct/Retail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20"/>
                <w:szCs w:val="20"/>
              </w:rPr>
              <w:t xml:space="preserve">Regulasi Utama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OJK (POJK Perasuransian), BSSN (Keamanan Siber), UU PDP No.27/2022, UU Asuransi No.40/2014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20"/>
                <w:szCs w:val="20"/>
              </w:rPr>
              <w:t xml:space="preserve">Lokasi Operasional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Kantor Pusat + Jaringan Kantor Cabang/Agency</w:t>
            </w:r>
          </w:p>
        </w:tc>
      </w:tr>
    </w:tbl>
    <w:p>
      <w:pPr>
        <w:spacing w:before="80" w:after="0"/>
      </w:pPr>
      <w:r>
        <w:t xml:space="preserve"/>
      </w:r>
    </w:p>
    <w:p>
      <w:pPr>
        <w:pStyle w:val="Heading2"/>
        <w:spacing w:before="320" w:after="120"/>
      </w:pPr>
      <w:r>
        <w:rPr>
          <w:rFonts w:ascii="Arial" w:cs="Arial" w:eastAsia="Arial" w:hAnsi="Arial"/>
          <w:b/>
          <w:bCs/>
          <w:color w:val="2E75B6"/>
          <w:sz w:val="26"/>
          <w:szCs w:val="26"/>
        </w:rPr>
        <w:t xml:space="preserve">2.2 Struktur Organisasi SMKI</w:t>
      </w:r>
    </w:p>
    <w:p>
      <w:pPr>
        <w:spacing w:before="80" w:after="80"/>
      </w:pPr>
      <w:r>
        <w:rPr>
          <w:rFonts w:ascii="Arial" w:cs="Arial" w:eastAsia="Arial" w:hAnsi="Arial"/>
          <w:sz w:val="22"/>
          <w:szCs w:val="22"/>
        </w:rPr>
        <w:t xml:space="preserve">SMKI dikelola di bawah CTISO (Chief Technology &amp; Information Security Officer) dengan koordinasi lintas fungsi:</w:t>
      </w:r>
    </w:p>
    <w:p>
      <w:pPr>
        <w:pStyle w:val="ListParagraph"/>
        <w:numPr>
          <w:ilvl w:val="0"/>
          <w:numId w:val="2"/>
        </w:numPr>
        <w:spacing w:before="60" w:after="60"/>
        <w:ind w:left="720" w:hanging="360"/>
      </w:pPr>
      <w:r>
        <w:rPr>
          <w:rFonts w:ascii="Arial" w:cs="Arial" w:eastAsia="Arial" w:hAnsi="Arial"/>
          <w:sz w:val="22"/>
          <w:szCs w:val="22"/>
        </w:rPr>
        <w:t xml:space="preserve">CTISO: Pemilik SMKI, penanggung jawab keamanan informasi tingkat strategis</w:t>
      </w:r>
    </w:p>
    <w:p>
      <w:pPr>
        <w:pStyle w:val="ListParagraph"/>
        <w:numPr>
          <w:ilvl w:val="0"/>
          <w:numId w:val="2"/>
        </w:numPr>
        <w:spacing w:before="60" w:after="60"/>
        <w:ind w:left="720" w:hanging="360"/>
      </w:pPr>
      <w:r>
        <w:rPr>
          <w:rFonts w:ascii="Arial" w:cs="Arial" w:eastAsia="Arial" w:hAnsi="Arial"/>
          <w:sz w:val="22"/>
          <w:szCs w:val="22"/>
        </w:rPr>
        <w:t xml:space="preserve">Digital Solution Development (Dev &amp; SecOps): Implementasi kontrol teknis, SDLC aman</w:t>
      </w:r>
    </w:p>
    <w:p>
      <w:pPr>
        <w:pStyle w:val="ListParagraph"/>
        <w:numPr>
          <w:ilvl w:val="0"/>
          <w:numId w:val="2"/>
        </w:numPr>
        <w:spacing w:before="60" w:after="60"/>
        <w:ind w:left="720" w:hanging="360"/>
      </w:pPr>
      <w:r>
        <w:rPr>
          <w:rFonts w:ascii="Arial" w:cs="Arial" w:eastAsia="Arial" w:hAnsi="Arial"/>
          <w:sz w:val="22"/>
          <w:szCs w:val="22"/>
        </w:rPr>
        <w:t xml:space="preserve">Information Technology Operation (IT Governance): Operasional infrastruktur dan tata kelola TI</w:t>
      </w:r>
    </w:p>
    <w:p>
      <w:pPr>
        <w:pStyle w:val="ListParagraph"/>
        <w:numPr>
          <w:ilvl w:val="0"/>
          <w:numId w:val="2"/>
        </w:numPr>
        <w:spacing w:before="60" w:after="60"/>
        <w:ind w:left="720" w:hanging="360"/>
      </w:pPr>
      <w:r>
        <w:rPr>
          <w:rFonts w:ascii="Arial" w:cs="Arial" w:eastAsia="Arial" w:hAnsi="Arial"/>
          <w:sz w:val="22"/>
          <w:szCs w:val="22"/>
        </w:rPr>
        <w:t xml:space="preserve">Internal Audit (Direksi): Audit independen SMKI</w:t>
      </w:r>
    </w:p>
    <w:p>
      <w:pPr>
        <w:pStyle w:val="ListParagraph"/>
        <w:numPr>
          <w:ilvl w:val="0"/>
          <w:numId w:val="2"/>
        </w:numPr>
        <w:spacing w:before="60" w:after="60"/>
        <w:ind w:left="720" w:hanging="360"/>
      </w:pPr>
      <w:r>
        <w:rPr>
          <w:rFonts w:ascii="Arial" w:cs="Arial" w:eastAsia="Arial" w:hAnsi="Arial"/>
          <w:sz w:val="22"/>
          <w:szCs w:val="22"/>
        </w:rPr>
        <w:t xml:space="preserve">Risk Management (Compliance Director): Pengelolaan risiko informasi terintegrasi</w:t>
      </w:r>
    </w:p>
    <w:p>
      <w:pPr>
        <w:pStyle w:val="ListParagraph"/>
        <w:numPr>
          <w:ilvl w:val="0"/>
          <w:numId w:val="2"/>
        </w:numPr>
        <w:spacing w:before="60" w:after="60"/>
        <w:ind w:left="720" w:hanging="360"/>
      </w:pPr>
      <w:r>
        <w:rPr>
          <w:rFonts w:ascii="Arial" w:cs="Arial" w:eastAsia="Arial" w:hAnsi="Arial"/>
          <w:sz w:val="22"/>
          <w:szCs w:val="22"/>
        </w:rPr>
        <w:t xml:space="preserve">Legal &amp; Compliance: Kepatuhan regulasi keamanan informasi</w:t>
      </w:r>
    </w:p>
    <w:p>
      <w:pPr>
        <w:pStyle w:val="ListParagraph"/>
        <w:numPr>
          <w:ilvl w:val="0"/>
          <w:numId w:val="2"/>
        </w:numPr>
        <w:spacing w:before="60" w:after="60"/>
        <w:ind w:left="720" w:hanging="360"/>
      </w:pPr>
      <w:r>
        <w:rPr>
          <w:rFonts w:ascii="Arial" w:cs="Arial" w:eastAsia="Arial" w:hAnsi="Arial"/>
          <w:sz w:val="22"/>
          <w:szCs w:val="22"/>
        </w:rPr>
        <w:t xml:space="preserve">Semua Departemen: Pemilik aset informasi dan pelaksana kontrol di unit masing-masing</w:t>
      </w:r>
    </w:p>
    <w:p>
      <w:pPr>
        <w:spacing w:before="80" w:after="0"/>
      </w:pPr>
      <w:r>
        <w:t xml:space="preserve"/>
      </w:r>
    </w:p>
    <w:p>
      <w:r>
        <w:br w:type="page"/>
      </w:r>
    </w:p>
    <w:p>
      <w:pPr>
        <w:pStyle w:val="Heading1"/>
        <w:spacing w:before="480" w:after="160"/>
      </w:pPr>
      <w:r>
        <w:rPr>
          <w:rFonts w:ascii="Arial" w:cs="Arial" w:eastAsia="Arial" w:hAnsi="Arial"/>
          <w:b/>
          <w:bCs/>
          <w:color w:val="1F3864"/>
          <w:sz w:val="34"/>
          <w:szCs w:val="34"/>
        </w:rPr>
        <w:t xml:space="preserve">3. Analisis Isu Internal dan Eksternal (Klausul 4.1)</w:t>
      </w:r>
    </w:p>
    <w:p>
      <w:pPr>
        <w:spacing w:before="80" w:after="80"/>
      </w:pPr>
      <w:r>
        <w:rPr>
          <w:rFonts w:ascii="Arial" w:cs="Arial" w:eastAsia="Arial" w:hAnsi="Arial"/>
          <w:sz w:val="22"/>
          <w:szCs w:val="22"/>
        </w:rPr>
        <w:t xml:space="preserve">Sesuai ISO/IEC 27001:2022 Klausul 4.1, organisasi harus menentukan isu-isu eksternal dan internal yang relevan dengan tujuan dan yang mempengaruhi kemampuannya untuk mencapai hasil yang diinginkan dari SMKI. Analisis dilakukan menggunakan kerangka SWOT (Strengths, Weaknesses, Opportunities, Threats).</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FAKTOR INTERNAL</w:t>
            </w:r>
          </w:p>
        </w:tc>
        <w:tc>
          <w:tcPr>
            <w:tcW w:type="dxa" w:w="4513"/>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FAKTOR EKSTERNAL</w:t>
            </w:r>
          </w:p>
        </w:tc>
      </w:tr>
      <w:tr>
        <w:tc>
          <w:tcPr>
            <w:tcW w:type="dxa" w:w="4513"/>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pPr>
              <w:spacing w:before="60" w:after="80"/>
              <w:jc w:val="center"/>
            </w:pPr>
            <w:r>
              <w:rPr>
                <w:rFonts w:ascii="Arial" w:cs="Arial" w:eastAsia="Arial" w:hAnsi="Arial"/>
                <w:b/>
                <w:bCs/>
                <w:color w:val="FFFFFF"/>
                <w:sz w:val="22"/>
                <w:szCs w:val="22"/>
              </w:rPr>
              <w:t xml:space="preserve">💪  KEKUATAN (Strengths)</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Brand asuransi jiwa terpercaya dengan reputasi kuat</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Infrastruktur TI modern: core system, cloud, API</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Tim CTISO dengan kompetensi keamanan siber</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Sistem manajemen risiko terintegrasi</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Portofolio produk lengkap (individual &amp; institusional)</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Data analytics &amp; AI untuk deteksi anomali</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Jaringan distribusi luas: agency + bancassurance</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Budaya kepatuhan regulasi yang kuat</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Kapabilitas digital acquisition &amp; digital onboarding</w:t>
            </w:r>
          </w:p>
        </w:tc>
        <w:tc>
          <w:tcPr>
            <w:tcW w:type="dxa" w:w="4513"/>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tcPr>
          <w:p>
            <w:pPr>
              <w:spacing w:before="60" w:after="80"/>
              <w:jc w:val="center"/>
            </w:pPr>
            <w:r>
              <w:rPr>
                <w:rFonts w:ascii="Arial" w:cs="Arial" w:eastAsia="Arial" w:hAnsi="Arial"/>
                <w:b/>
                <w:bCs/>
                <w:color w:val="FFFFFF"/>
                <w:sz w:val="22"/>
                <w:szCs w:val="22"/>
              </w:rPr>
              <w:t xml:space="preserve">🌐  PELUANG (Opportunities)</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Pertumbuhan pesat penetrasi asuransi digital di Indonesia</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Regulasi OJK mendorong transformasi digital asuransi</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Ekosistem Open API insurance (OJK roadmap)</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Peningkatan kesadaran keamanan pasca kasus siber nasional</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Kolaborasi dengan bank &amp; fintech (embedded insurance)</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Pengembangan produk berbasis ESG &amp; iklim</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Standardisasi keamanan cloud nasional (BSSN)</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Peningkatan kepercayaan nasabah jika SMKI tersertifikasi</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Teknologi AI/ML untuk fraud detection &amp; risk modeling</w:t>
            </w:r>
          </w:p>
        </w:tc>
      </w:tr>
      <w:tr>
        <w:tc>
          <w:tcPr>
            <w:tcW w:type="dxa" w:w="4513"/>
            <w:tcBorders>
              <w:top w:val="single" w:color="CCCCCC" w:sz="1"/>
              <w:left w:val="single" w:color="CCCCCC" w:sz="1"/>
              <w:bottom w:val="single" w:color="CCCCCC" w:sz="1"/>
              <w:right w:val="single" w:color="CCCCCC" w:sz="1"/>
            </w:tcBorders>
            <w:shd w:fill="7B3F00" w:val="clear"/>
            <w:tcMar>
              <w:top w:type="dxa" w:w="100"/>
              <w:left w:type="dxa" w:w="140"/>
              <w:bottom w:type="dxa" w:w="100"/>
              <w:right w:type="dxa" w:w="140"/>
            </w:tcMar>
          </w:tcPr>
          <w:p>
            <w:pPr>
              <w:spacing w:before="60" w:after="80"/>
              <w:jc w:val="center"/>
            </w:pPr>
            <w:r>
              <w:rPr>
                <w:rFonts w:ascii="Arial" w:cs="Arial" w:eastAsia="Arial" w:hAnsi="Arial"/>
                <w:b/>
                <w:bCs/>
                <w:color w:val="FFFFFF"/>
                <w:sz w:val="22"/>
                <w:szCs w:val="22"/>
              </w:rPr>
              <w:t xml:space="preserve">⚠️  KELEMAHAN (Weaknesses)</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Sistem legacy yang belum sepenuhnya terintegrasi</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Kesadaran keamanan informasi karyawan perlu ditingkatkan</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Ketergantungan pada vendor TI pihak ketiga</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Belum semua data terklasifikasi sesuai standar</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Rotasi SDM keamanan siber yang cukup tinggi</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Silo informasi antar departemen (CBO, Ops, Finance)</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Dokumentasi SOP TI dan keamanan belum lengkap</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Manajemen patch belum sepenuhnya otomatis</w:t>
            </w:r>
          </w:p>
        </w:tc>
        <w:tc>
          <w:tcPr>
            <w:tcW w:type="dxa" w:w="4513"/>
            <w:tcBorders>
              <w:top w:val="single" w:color="CCCCCC" w:sz="1"/>
              <w:left w:val="single" w:color="CCCCCC" w:sz="1"/>
              <w:bottom w:val="single" w:color="CCCCCC" w:sz="1"/>
              <w:right w:val="single" w:color="CCCCCC" w:sz="1"/>
            </w:tcBorders>
            <w:shd w:fill="7B0000" w:val="clear"/>
            <w:tcMar>
              <w:top w:type="dxa" w:w="100"/>
              <w:left w:type="dxa" w:w="140"/>
              <w:bottom w:type="dxa" w:w="100"/>
              <w:right w:type="dxa" w:w="140"/>
            </w:tcMar>
          </w:tcPr>
          <w:p>
            <w:pPr>
              <w:spacing w:before="60" w:after="80"/>
              <w:jc w:val="center"/>
            </w:pPr>
            <w:r>
              <w:rPr>
                <w:rFonts w:ascii="Arial" w:cs="Arial" w:eastAsia="Arial" w:hAnsi="Arial"/>
                <w:b/>
                <w:bCs/>
                <w:color w:val="FFFFFF"/>
                <w:sz w:val="22"/>
                <w:szCs w:val="22"/>
              </w:rPr>
              <w:t xml:space="preserve">🔴  ANCAMAN (Threats)</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Serangan ransomware &amp; APT yang semakin canggih</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Kebocoran data nasabah (reputasi &amp; denda regulasi)</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Phishing dan social engineering ke karyawan</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Perubahan regulasi yang cepat (OJK, BSSN, UU PDP)</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Ancaman insider threat dari karyawan/vendor</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Gangguan DDoS pada layanan digital (portal, mobile app)</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Risiko rantai pasokan TI (vendor/mitra terkompromi)</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Perubahan iklim: banjir/gempa mengancam data center</w:t>
            </w:r>
          </w:p>
          <w:p>
            <w:pPr>
              <w:spacing w:before="40" w:after="40"/>
              <w:ind w:left="240" w:hanging="160"/>
            </w:pPr>
            <w:r>
              <w:rPr>
                <w:rFonts w:ascii="Arial" w:cs="Arial" w:eastAsia="Arial" w:hAnsi="Arial"/>
                <w:color w:val="FFFFFF"/>
                <w:sz w:val="19"/>
                <w:szCs w:val="19"/>
              </w:rPr>
              <w:t xml:space="preserve">• </w:t>
            </w:r>
            <w:r>
              <w:rPr>
                <w:rFonts w:ascii="Arial" w:cs="Arial" w:eastAsia="Arial" w:hAnsi="Arial"/>
                <w:color w:val="FFFFFF"/>
                <w:sz w:val="19"/>
                <w:szCs w:val="19"/>
              </w:rPr>
              <w:t xml:space="preserve">Ketidakpastian geopolitik &amp; serangan state-sponsored</w:t>
            </w:r>
          </w:p>
        </w:tc>
      </w:tr>
    </w:tbl>
    <w:p>
      <w:pPr>
        <w:spacing w:before="160" w:after="0"/>
      </w:pPr>
      <w:r>
        <w:t xml:space="preserve"/>
      </w:r>
    </w:p>
    <w:p>
      <w:pPr>
        <w:pStyle w:val="Heading2"/>
        <w:spacing w:before="320" w:after="120"/>
      </w:pPr>
      <w:r>
        <w:rPr>
          <w:rFonts w:ascii="Arial" w:cs="Arial" w:eastAsia="Arial" w:hAnsi="Arial"/>
          <w:b/>
          <w:bCs/>
          <w:color w:val="2E75B6"/>
          <w:sz w:val="26"/>
          <w:szCs w:val="26"/>
        </w:rPr>
        <w:t xml:space="preserve">3.1 Rincian Isu Internal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500"/>
        <w:gridCol w:w="2300"/>
        <w:gridCol w:w="2026"/>
      </w:tblGrid>
      <w:tr>
        <w:tc>
          <w:tcPr>
            <w:tcW w:type="dxa" w:w="4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w:t>
            </w:r>
          </w:p>
        </w:tc>
        <w:tc>
          <w:tcPr>
            <w:tcW w:type="dxa" w:w="1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Kategori Isu</w:t>
            </w:r>
          </w:p>
        </w:tc>
        <w:tc>
          <w:tcPr>
            <w:tcW w:type="dxa" w:w="25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Deskripsi Isu</w:t>
            </w:r>
          </w:p>
        </w:tc>
        <w:tc>
          <w:tcPr>
            <w:tcW w:type="dxa" w:w="23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Potensi Dampak pada SMKI</w:t>
            </w:r>
          </w:p>
        </w:tc>
        <w:tc>
          <w:tcPr>
            <w:tcW w:type="dxa" w:w="2026"/>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Tingkat Relevansi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I-01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Tata Kelola &amp; SDM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Belum semua departemen memiliki PIC keamanan informasi yang ditunjuk secara formal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Gap implementasi kontrol, lambatnya respons insiden di unit bisnis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Tinggi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I-02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Teknologi &amp; Infrastruktur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Sistem core insurance legacy belum sepenuhnya mendukung enkripsi end-to-end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Risiko kebocoran data polis dan premi dalam proses transaksi</w:t>
            </w:r>
          </w:p>
        </w:tc>
        <w:tc>
          <w:tcPr>
            <w:tcW w:type="dxa" w:w="2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Tinggi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I-03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Budaya Organisasi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Kesadaran keamanan informasi karyawan tidak merata, terutama di unit bisnis (CBO, Ops)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Kerentanan terhadap phishing, social engineering, dan pelanggaran kebijakan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Tinggi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I-04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Manajemen Vendor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Ketergantungan tinggi pada vendor TI pihak ketiga tanpa SLA keamanan yang komprehensif</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Risiko kebocoran data melalui third-party, gangguan layanan</w:t>
            </w:r>
          </w:p>
        </w:tc>
        <w:tc>
          <w:tcPr>
            <w:tcW w:type="dxa" w:w="2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Sedang–Tinggi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I-05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Data &amp; Informasi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Klasifikasi dan labeling data aset informasi belum sepenuhnya diterapkan lintas departemen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Data sensitif nasabah tidak terlindungi sesuai levelnya (GDPR/UU PDP)</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Tinggi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I-06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Kepatuhan Internal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SOP keamanan TI belum terdokumentasi dan diperbarui secara berkala di seluruh unit</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Inkonsistensi implementasi kontrol, risiko audit finding</w:t>
            </w:r>
          </w:p>
        </w:tc>
        <w:tc>
          <w:tcPr>
            <w:tcW w:type="dxa" w:w="2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Sedang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I-07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Manajemen Perubahan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Perubahan sistem dan infrastruktur TI tidak selalu melalui change management yang formal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Introduksi kerentanan baru, kegagalan layanan tidak terencana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Sedang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I-08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Aktuaria &amp; Data Keuangan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Data aktuaria dan valuasi investasi sangat sensitif, akses tidak selalu terkontrol ketat</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Risiko manipulasi data keuangan, pelanggaran regulasi OJK</w:t>
            </w:r>
          </w:p>
        </w:tc>
        <w:tc>
          <w:tcPr>
            <w:tcW w:type="dxa" w:w="2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Tinggi</w:t>
            </w:r>
          </w:p>
        </w:tc>
      </w:tr>
    </w:tbl>
    <w:p>
      <w:pPr>
        <w:spacing w:before="160" w:after="0"/>
      </w:pPr>
      <w:r>
        <w:t xml:space="preserve"/>
      </w:r>
    </w:p>
    <w:p>
      <w:pPr>
        <w:pStyle w:val="Heading2"/>
        <w:spacing w:before="320" w:after="120"/>
      </w:pPr>
      <w:r>
        <w:rPr>
          <w:rFonts w:ascii="Arial" w:cs="Arial" w:eastAsia="Arial" w:hAnsi="Arial"/>
          <w:b/>
          <w:bCs/>
          <w:color w:val="2E75B6"/>
          <w:sz w:val="26"/>
          <w:szCs w:val="26"/>
        </w:rPr>
        <w:t xml:space="preserve">3.2 Rincian Isu Eksternal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500"/>
        <w:gridCol w:w="2300"/>
        <w:gridCol w:w="2026"/>
      </w:tblGrid>
      <w:tr>
        <w:tc>
          <w:tcPr>
            <w:tcW w:type="dxa" w:w="4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w:t>
            </w:r>
          </w:p>
        </w:tc>
        <w:tc>
          <w:tcPr>
            <w:tcW w:type="dxa" w:w="1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Kategori Isu</w:t>
            </w:r>
          </w:p>
        </w:tc>
        <w:tc>
          <w:tcPr>
            <w:tcW w:type="dxa" w:w="25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Deskripsi Isu</w:t>
            </w:r>
          </w:p>
        </w:tc>
        <w:tc>
          <w:tcPr>
            <w:tcW w:type="dxa" w:w="23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Potensi Dampak pada SMKI</w:t>
            </w:r>
          </w:p>
        </w:tc>
        <w:tc>
          <w:tcPr>
            <w:tcW w:type="dxa" w:w="2026"/>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Tingkat Relevansi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Regulasi &amp; Hukum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Penerapan UU Perlindungan Data Pribadi (UU No.27/2022) dan regulasi OJK terkait keamanan siber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Kewajiban notifikasi pelanggaran data, denda signifikan, pencabutan izin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Sangat Tinggi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Regulasi OJK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POJK No.11/2022 tentang penyelenggaraan teknologi informasi oleh lembaga jasa keuangan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Kewajiban implementasi framework keamanan TI, pelaporan insiden ke OJK dalam 14 hari</w:t>
            </w:r>
          </w:p>
        </w:tc>
        <w:tc>
          <w:tcPr>
            <w:tcW w:type="dxa" w:w="2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Sangat Tinggi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Ancaman Siber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Peningkatan serangan ransomware, APT, dan kebocoran data di sektor keuangan &amp; asuransi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Gangguan operasional, kerugian finansial, kerusakan reputasi, kehilangan kepercayaan nasabah</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Sangat Tinggi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Persaingan Digital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Insurtech dan perusahaan asuransi digital baru menekan percepatan transformasi digital</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Tekanan untuk meluncurkan produk/layanan digital cepat tanpa security review memadai</w:t>
            </w:r>
          </w:p>
        </w:tc>
        <w:tc>
          <w:tcPr>
            <w:tcW w:type="dxa" w:w="2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Sedang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Mitra &amp; Rantai Pasokan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Bank mitra (bancassurance) dan vendor teknologi memiliki standar keamanan yang beragam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Risiko kompromi melalui rantai pasokan, kebocoran data nasabah melalui bank mitra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Tinggi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Geopolitik &amp; Siber Global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Meningkatnya serangan siber berbasis negara (state-sponsored) terhadap infrastruktur keuangan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Serangan terkoordinasi pada core system, potensi gangguan sistemik</w:t>
            </w:r>
          </w:p>
        </w:tc>
        <w:tc>
          <w:tcPr>
            <w:tcW w:type="dxa" w:w="2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Sedang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Teknologi Baru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Adopsi AI, machine learning, dan cloud computing membuka attack surface baru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Kerentanan model AI (adversarial attacks), misconfiguration cloud, shadow IT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Tinggi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 Perubahan Iklim (Climate Change)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Banjir, gempa, dan cuaca ekstrem mengancam ketersediaan data center &amp; kantor</w:t>
            </w:r>
          </w:p>
          <w:p>
            <w:pPr>
              <w:spacing w:before="30" w:after="30"/>
            </w:pPr>
            <w:r>
              <w:rPr>
                <w:rFonts w:ascii="Arial" w:cs="Arial" w:eastAsia="Arial" w:hAnsi="Arial"/>
                <w:sz w:val="19"/>
                <w:szCs w:val="19"/>
              </w:rPr>
              <w:t xml:space="preserve">Kenaikan suhu meningkatkan risiko hardware failure pada server room</w:t>
            </w:r>
          </w:p>
          <w:p>
            <w:pPr>
              <w:spacing w:before="30" w:after="30"/>
            </w:pPr>
            <w:r>
              <w:rPr>
                <w:rFonts w:ascii="Arial" w:cs="Arial" w:eastAsia="Arial" w:hAnsi="Arial"/>
                <w:sz w:val="19"/>
                <w:szCs w:val="19"/>
              </w:rPr>
              <w:t xml:space="preserve">Gangguan rantai pasokan vendor TI akibat bencana iklim</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Gangguan ketersediaan sistem (availability)</w:t>
            </w:r>
          </w:p>
          <w:p>
            <w:pPr>
              <w:spacing w:before="30" w:after="30"/>
            </w:pPr>
            <w:r>
              <w:rPr>
                <w:rFonts w:ascii="Arial" w:cs="Arial" w:eastAsia="Arial" w:hAnsi="Arial"/>
                <w:sz w:val="19"/>
                <w:szCs w:val="19"/>
              </w:rPr>
              <w:t xml:space="preserve">Kehilangan data akibat kerusakan fisik infrastruktur</w:t>
            </w:r>
          </w:p>
          <w:p>
            <w:pPr>
              <w:spacing w:before="30" w:after="30"/>
            </w:pPr>
            <w:r>
              <w:rPr>
                <w:rFonts w:ascii="Arial" w:cs="Arial" w:eastAsia="Arial" w:hAnsi="Arial"/>
                <w:sz w:val="19"/>
                <w:szCs w:val="19"/>
              </w:rPr>
              <w:t xml:space="preserve">Kegagalan memenuhi RTO/RPO BCP yang ditetapkan</w:t>
            </w:r>
          </w:p>
        </w:tc>
        <w:tc>
          <w:tcPr>
            <w:tcW w:type="dxa" w:w="2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Tinggi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E-09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Sosial &amp; SDM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Kelangkaan talenta keamanan siber bersertifikasi di pasar kerja Indonesia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Kesulitan rekrutmen dan retensi SDM SMKI, gap kompetensi tim keamanan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Sedang</w:t>
            </w:r>
          </w:p>
        </w:tc>
      </w:tr>
    </w:tbl>
    <w:p>
      <w:pPr>
        <w:spacing w:before="160" w:after="0"/>
      </w:pPr>
      <w:r>
        <w:t xml:space="preserve"/>
      </w:r>
    </w:p>
    <w:p>
      <w:r>
        <w:br w:type="page"/>
      </w:r>
    </w:p>
    <w:p>
      <w:pPr>
        <w:pStyle w:val="Heading2"/>
        <w:spacing w:before="320" w:after="120"/>
      </w:pPr>
      <w:r>
        <w:rPr>
          <w:rFonts w:ascii="Arial" w:cs="Arial" w:eastAsia="Arial" w:hAnsi="Arial"/>
          <w:b/>
          <w:bCs/>
          <w:color w:val="2E75B6"/>
          <w:sz w:val="26"/>
          <w:szCs w:val="26"/>
        </w:rPr>
        <w:t xml:space="preserve">3.3 Isu Khusus: Dampak Perubahan Iklim terhadap Keamanan Informasi</w:t>
      </w:r>
    </w:p>
    <w:p>
      <w:pPr>
        <w:spacing w:before="80" w:after="80"/>
      </w:pPr>
      <w:r>
        <w:rPr>
          <w:rFonts w:ascii="Arial" w:cs="Arial" w:eastAsia="Arial" w:hAnsi="Arial"/>
          <w:sz w:val="22"/>
          <w:szCs w:val="22"/>
        </w:rPr>
        <w:t xml:space="preserve">Sesuai perkembangan terkini standar ISO dan regulasi global, perubahan iklim diakui sebagai isu konteks organisasi yang relevan terhadap SMKI. ISO/IEC 27001:2022 dan ISO/IEC 27002:2022 memperjelas bahwa faktor lingkungan termasuk bencana alam dan perubahan iklim harus dipertimbangkan dalam pengelolaan risiko keamanan informasi.</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Risiko Iklim</w:t>
            </w:r>
          </w:p>
        </w:tc>
        <w:tc>
          <w:tcPr>
            <w:tcW w:type="dxa" w:w="3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Dampak pada SMKI</w:t>
            </w:r>
          </w:p>
        </w:tc>
        <w:tc>
          <w:tcPr>
            <w:tcW w:type="dxa" w:w="3826"/>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Mitigasi yang Diterapkan</w:t>
            </w:r>
          </w:p>
        </w:tc>
      </w:tr>
      <w:tr>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pPr>
              <w:jc w:val="left"/>
            </w:pPr>
            <w:r>
              <w:rPr>
                <w:rFonts w:ascii="Arial" w:cs="Arial" w:eastAsia="Arial" w:hAnsi="Arial"/>
                <w:b/>
                <w:bCs/>
                <w:sz w:val="20"/>
                <w:szCs w:val="20"/>
              </w:rPr>
              <w:t xml:space="preserve">Banjir &amp; Curah Hujan Ekstrem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Kerusakan fisik data center/server room</w:t>
            </w:r>
          </w:p>
          <w:p>
            <w:pPr>
              <w:spacing w:before="30" w:after="30"/>
            </w:pPr>
            <w:r>
              <w:rPr>
                <w:rFonts w:ascii="Arial" w:cs="Arial" w:eastAsia="Arial" w:hAnsi="Arial"/>
                <w:sz w:val="19"/>
                <w:szCs w:val="19"/>
              </w:rPr>
              <w:t xml:space="preserve">Gangguan koneksi jaringan</w:t>
            </w:r>
          </w:p>
          <w:p>
            <w:pPr>
              <w:spacing w:before="30" w:after="30"/>
            </w:pPr>
            <w:r>
              <w:rPr>
                <w:rFonts w:ascii="Arial" w:cs="Arial" w:eastAsia="Arial" w:hAnsi="Arial"/>
                <w:sz w:val="19"/>
                <w:szCs w:val="19"/>
              </w:rPr>
              <w:t xml:space="preserve">Tidak dapat diakses oleh personel TI</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Lokasi DR site di elevasi/zona bebas banjir</w:t>
            </w:r>
          </w:p>
          <w:p>
            <w:pPr>
              <w:spacing w:before="30" w:after="30"/>
            </w:pPr>
            <w:r>
              <w:rPr>
                <w:rFonts w:ascii="Arial" w:cs="Arial" w:eastAsia="Arial" w:hAnsi="Arial"/>
                <w:sz w:val="19"/>
                <w:szCs w:val="19"/>
              </w:rPr>
              <w:t xml:space="preserve">Pemantauan cuaca real-time + alert otomatis</w:t>
            </w:r>
          </w:p>
          <w:p>
            <w:pPr>
              <w:spacing w:before="30" w:after="30"/>
            </w:pPr>
            <w:r>
              <w:rPr>
                <w:rFonts w:ascii="Arial" w:cs="Arial" w:eastAsia="Arial" w:hAnsi="Arial"/>
                <w:sz w:val="19"/>
                <w:szCs w:val="19"/>
              </w:rPr>
              <w:t xml:space="preserve">Proteksi fisik: elevated floor, waterproofing</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sz w:val="20"/>
                <w:szCs w:val="20"/>
              </w:rPr>
              <w:t xml:space="preserve">Gempa Bumi &amp; Bencana Geologi</w:t>
            </w:r>
          </w:p>
        </w:tc>
        <w:tc>
          <w:tcPr>
            <w:tcW w:type="dxa" w:w="3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before="30" w:after="30"/>
            </w:pPr>
            <w:r>
              <w:rPr>
                <w:rFonts w:ascii="Arial" w:cs="Arial" w:eastAsia="Arial" w:hAnsi="Arial"/>
                <w:sz w:val="19"/>
                <w:szCs w:val="19"/>
              </w:rPr>
              <w:t xml:space="preserve">Kerusakan infrastruktur fisik</w:t>
            </w:r>
          </w:p>
          <w:p>
            <w:pPr>
              <w:spacing w:before="30" w:after="30"/>
            </w:pPr>
            <w:r>
              <w:rPr>
                <w:rFonts w:ascii="Arial" w:cs="Arial" w:eastAsia="Arial" w:hAnsi="Arial"/>
                <w:sz w:val="19"/>
                <w:szCs w:val="19"/>
              </w:rPr>
              <w:t xml:space="preserve">Kegagalan storage dan server</w:t>
            </w:r>
          </w:p>
          <w:p>
            <w:pPr>
              <w:spacing w:before="30" w:after="30"/>
            </w:pPr>
            <w:r>
              <w:rPr>
                <w:rFonts w:ascii="Arial" w:cs="Arial" w:eastAsia="Arial" w:hAnsi="Arial"/>
                <w:sz w:val="19"/>
                <w:szCs w:val="19"/>
              </w:rPr>
              <w:t xml:space="preserve">Gangguan power supply</w:t>
            </w:r>
          </w:p>
        </w:tc>
        <w:tc>
          <w:tcPr>
            <w:tcW w:type="dxa" w:w="3826"/>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before="30" w:after="30"/>
            </w:pPr>
            <w:r>
              <w:rPr>
                <w:rFonts w:ascii="Arial" w:cs="Arial" w:eastAsia="Arial" w:hAnsi="Arial"/>
                <w:sz w:val="19"/>
                <w:szCs w:val="19"/>
              </w:rPr>
              <w:t xml:space="preserve">Anchor dan pelindung perangkat anti-gempa</w:t>
            </w:r>
          </w:p>
          <w:p>
            <w:pPr>
              <w:spacing w:before="30" w:after="30"/>
            </w:pPr>
            <w:r>
              <w:rPr>
                <w:rFonts w:ascii="Arial" w:cs="Arial" w:eastAsia="Arial" w:hAnsi="Arial"/>
                <w:sz w:val="19"/>
                <w:szCs w:val="19"/>
              </w:rPr>
              <w:t xml:space="preserve">UPS + genset diesel cadangan</w:t>
            </w:r>
          </w:p>
          <w:p>
            <w:pPr>
              <w:spacing w:before="30" w:after="30"/>
            </w:pPr>
            <w:r>
              <w:rPr>
                <w:rFonts w:ascii="Arial" w:cs="Arial" w:eastAsia="Arial" w:hAnsi="Arial"/>
                <w:sz w:val="19"/>
                <w:szCs w:val="19"/>
              </w:rPr>
              <w:t xml:space="preserve">Replikasi data real-time ke DR site</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sz w:val="20"/>
                <w:szCs w:val="20"/>
              </w:rPr>
              <w:t xml:space="preserve">Kenaikan Suhu &amp; Gelombang Panas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before="30" w:after="30"/>
            </w:pPr>
            <w:r>
              <w:rPr>
                <w:rFonts w:ascii="Arial" w:cs="Arial" w:eastAsia="Arial" w:hAnsi="Arial"/>
                <w:sz w:val="19"/>
                <w:szCs w:val="19"/>
              </w:rPr>
              <w:t xml:space="preserve">Overheating server dan storage</w:t>
            </w:r>
          </w:p>
          <w:p>
            <w:pPr>
              <w:spacing w:before="30" w:after="30"/>
            </w:pPr>
            <w:r>
              <w:rPr>
                <w:rFonts w:ascii="Arial" w:cs="Arial" w:eastAsia="Arial" w:hAnsi="Arial"/>
                <w:sz w:val="19"/>
                <w:szCs w:val="19"/>
              </w:rPr>
              <w:t xml:space="preserve">Penurunan umur perangkat keras</w:t>
            </w:r>
          </w:p>
          <w:p>
            <w:pPr>
              <w:spacing w:before="30" w:after="30"/>
            </w:pPr>
            <w:r>
              <w:rPr>
                <w:rFonts w:ascii="Arial" w:cs="Arial" w:eastAsia="Arial" w:hAnsi="Arial"/>
                <w:sz w:val="19"/>
                <w:szCs w:val="19"/>
              </w:rPr>
              <w:t xml:space="preserve">Kegagalan sistem pendingin</w:t>
            </w:r>
          </w:p>
        </w:tc>
        <w:tc>
          <w:tcPr>
            <w:tcW w:type="dxa" w:w="3826"/>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before="30" w:after="30"/>
            </w:pPr>
            <w:r>
              <w:rPr>
                <w:rFonts w:ascii="Arial" w:cs="Arial" w:eastAsia="Arial" w:hAnsi="Arial"/>
                <w:sz w:val="19"/>
                <w:szCs w:val="19"/>
              </w:rPr>
              <w:t xml:space="preserve">Sistem HVAC redundan di server room</w:t>
            </w:r>
          </w:p>
          <w:p>
            <w:pPr>
              <w:spacing w:before="30" w:after="30"/>
            </w:pPr>
            <w:r>
              <w:rPr>
                <w:rFonts w:ascii="Arial" w:cs="Arial" w:eastAsia="Arial" w:hAnsi="Arial"/>
                <w:sz w:val="19"/>
                <w:szCs w:val="19"/>
              </w:rPr>
              <w:t xml:space="preserve">Monitoring suhu real-time + alarm</w:t>
            </w:r>
          </w:p>
          <w:p>
            <w:pPr>
              <w:spacing w:before="30" w:after="30"/>
            </w:pPr>
            <w:r>
              <w:rPr>
                <w:rFonts w:ascii="Arial" w:cs="Arial" w:eastAsia="Arial" w:hAnsi="Arial"/>
                <w:sz w:val="19"/>
                <w:szCs w:val="19"/>
              </w:rPr>
              <w:t xml:space="preserve">PUE (Power Usage Effectiveness) monitoring</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40"/>
              <w:bottom w:type="dxa" w:w="80"/>
              <w:right w:type="dxa" w:w="140"/>
            </w:tcMar>
          </w:tcPr>
          <w:p>
            <w:pPr>
              <w:jc w:val="left"/>
            </w:pPr>
            <w:r>
              <w:rPr>
                <w:rFonts w:ascii="Arial" w:cs="Arial" w:eastAsia="Arial" w:hAnsi="Arial"/>
                <w:b/>
                <w:bCs/>
                <w:sz w:val="20"/>
                <w:szCs w:val="20"/>
              </w:rPr>
              <w:t xml:space="preserve">Gangguan Rantai Pasokan TI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Keterlambatan pengiriman hardware pengganti</w:t>
            </w:r>
          </w:p>
          <w:p>
            <w:pPr>
              <w:spacing w:before="30" w:after="30"/>
            </w:pPr>
            <w:r>
              <w:rPr>
                <w:rFonts w:ascii="Arial" w:cs="Arial" w:eastAsia="Arial" w:hAnsi="Arial"/>
                <w:sz w:val="19"/>
                <w:szCs w:val="19"/>
              </w:rPr>
              <w:t xml:space="preserve">Vendor TI kritis terdampak bencana</w:t>
            </w:r>
          </w:p>
          <w:p>
            <w:pPr>
              <w:spacing w:before="30" w:after="30"/>
            </w:pPr>
            <w:r>
              <w:rPr>
                <w:rFonts w:ascii="Arial" w:cs="Arial" w:eastAsia="Arial" w:hAnsi="Arial"/>
                <w:sz w:val="19"/>
                <w:szCs w:val="19"/>
              </w:rPr>
              <w:t xml:space="preserve">Kegagalan layanan cloud provider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Multi-vendor strategy untuk layanan kritis</w:t>
            </w:r>
          </w:p>
          <w:p>
            <w:pPr>
              <w:spacing w:before="30" w:after="30"/>
            </w:pPr>
            <w:r>
              <w:rPr>
                <w:rFonts w:ascii="Arial" w:cs="Arial" w:eastAsia="Arial" w:hAnsi="Arial"/>
                <w:sz w:val="19"/>
                <w:szCs w:val="19"/>
              </w:rPr>
              <w:t xml:space="preserve">Buffer stock hardware kritis</w:t>
            </w:r>
          </w:p>
          <w:p>
            <w:pPr>
              <w:spacing w:before="30" w:after="30"/>
            </w:pPr>
            <w:r>
              <w:rPr>
                <w:rFonts w:ascii="Arial" w:cs="Arial" w:eastAsia="Arial" w:hAnsi="Arial"/>
                <w:sz w:val="19"/>
                <w:szCs w:val="19"/>
              </w:rPr>
              <w:t xml:space="preserve">SLA force majeure clause dalam kontrak vendor</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sz w:val="20"/>
                <w:szCs w:val="20"/>
              </w:rPr>
              <w:t xml:space="preserve">Gangguan Kelangsungan Operasional</w:t>
            </w:r>
          </w:p>
        </w:tc>
        <w:tc>
          <w:tcPr>
            <w:tcW w:type="dxa" w:w="3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before="30" w:after="30"/>
            </w:pPr>
            <w:r>
              <w:rPr>
                <w:rFonts w:ascii="Arial" w:cs="Arial" w:eastAsia="Arial" w:hAnsi="Arial"/>
                <w:sz w:val="19"/>
                <w:szCs w:val="19"/>
              </w:rPr>
              <w:t xml:space="preserve">SDM tidak dapat hadir ke kantor</w:t>
            </w:r>
          </w:p>
          <w:p>
            <w:pPr>
              <w:spacing w:before="30" w:after="30"/>
            </w:pPr>
            <w:r>
              <w:rPr>
                <w:rFonts w:ascii="Arial" w:cs="Arial" w:eastAsia="Arial" w:hAnsi="Arial"/>
                <w:sz w:val="19"/>
                <w:szCs w:val="19"/>
              </w:rPr>
              <w:t xml:space="preserve">Kantor operasional tidak dapat digunakan</w:t>
            </w:r>
          </w:p>
          <w:p>
            <w:pPr>
              <w:spacing w:before="30" w:after="30"/>
            </w:pPr>
            <w:r>
              <w:rPr>
                <w:rFonts w:ascii="Arial" w:cs="Arial" w:eastAsia="Arial" w:hAnsi="Arial"/>
                <w:sz w:val="19"/>
                <w:szCs w:val="19"/>
              </w:rPr>
              <w:t xml:space="preserve">Gangguan jaringan telekomunikasi</w:t>
            </w:r>
          </w:p>
        </w:tc>
        <w:tc>
          <w:tcPr>
            <w:tcW w:type="dxa" w:w="382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before="30" w:after="30"/>
            </w:pPr>
            <w:r>
              <w:rPr>
                <w:rFonts w:ascii="Arial" w:cs="Arial" w:eastAsia="Arial" w:hAnsi="Arial"/>
                <w:sz w:val="19"/>
                <w:szCs w:val="19"/>
              </w:rPr>
              <w:t xml:space="preserve">Remote work infrastructure yang andal (VPN, cloud)</w:t>
            </w:r>
          </w:p>
          <w:p>
            <w:pPr>
              <w:spacing w:before="30" w:after="30"/>
            </w:pPr>
            <w:r>
              <w:rPr>
                <w:rFonts w:ascii="Arial" w:cs="Arial" w:eastAsia="Arial" w:hAnsi="Arial"/>
                <w:sz w:val="19"/>
                <w:szCs w:val="19"/>
              </w:rPr>
              <w:t xml:space="preserve">Work From Home policy terintegrasi BCP</w:t>
            </w:r>
          </w:p>
          <w:p>
            <w:pPr>
              <w:spacing w:before="30" w:after="30"/>
            </w:pPr>
            <w:r>
              <w:rPr>
                <w:rFonts w:ascii="Arial" w:cs="Arial" w:eastAsia="Arial" w:hAnsi="Arial"/>
                <w:sz w:val="19"/>
                <w:szCs w:val="19"/>
              </w:rPr>
              <w:t xml:space="preserve">Redundansi koneksi internet (multi-ISP)</w:t>
            </w:r>
          </w:p>
        </w:tc>
      </w:tr>
    </w:tbl>
    <w:p>
      <w:pPr>
        <w:spacing w:before="80" w:after="0"/>
      </w:pPr>
      <w:r>
        <w:t xml:space="preserve"/>
      </w:r>
    </w:p>
    <w:p>
      <w:pPr>
        <w:spacing w:before="80" w:after="80"/>
      </w:pPr>
      <w:r>
        <w:rPr>
          <w:rFonts w:ascii="Arial" w:cs="Arial" w:eastAsia="Arial" w:hAnsi="Arial"/>
          <w:sz w:val="22"/>
          <w:szCs w:val="22"/>
        </w:rPr>
        <w:t xml:space="preserve">Catatan: Risiko perubahan iklim dimasukkan dalam Risk Register SMKI (SMKI-RR-001) dan dikaji dalam Management Review tahunan bersama dengan pembaruan Business Continuity Plan (SMKI-BCP-001).</w:t>
      </w:r>
    </w:p>
    <w:p>
      <w:pPr>
        <w:spacing w:before="160" w:after="0"/>
      </w:pPr>
      <w:r>
        <w:t xml:space="preserve"/>
      </w:r>
    </w:p>
    <w:p>
      <w:r>
        <w:br w:type="page"/>
      </w:r>
    </w:p>
    <w:p>
      <w:pPr>
        <w:pStyle w:val="Heading1"/>
        <w:spacing w:before="480" w:after="160"/>
      </w:pPr>
      <w:r>
        <w:rPr>
          <w:rFonts w:ascii="Arial" w:cs="Arial" w:eastAsia="Arial" w:hAnsi="Arial"/>
          <w:b/>
          <w:bCs/>
          <w:color w:val="1F3864"/>
          <w:sz w:val="34"/>
          <w:szCs w:val="34"/>
        </w:rPr>
        <w:t xml:space="preserve">4. Kebutuhan dan Harapan Pemangku Kepentingan (Klausul 4.2)</w:t>
      </w:r>
    </w:p>
    <w:p>
      <w:pPr>
        <w:spacing w:before="80" w:after="80"/>
      </w:pPr>
      <w:r>
        <w:rPr>
          <w:rFonts w:ascii="Arial" w:cs="Arial" w:eastAsia="Arial" w:hAnsi="Arial"/>
          <w:sz w:val="22"/>
          <w:szCs w:val="22"/>
        </w:rPr>
        <w:t xml:space="preserve">Organisasi mengidentifikasi pihak-pihak yang berkepentingan dengan SMKI beserta persyaratan relevan mereka terhadap keamanan informasi:</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c>
          <w:tcPr>
            <w:tcW w:type="dxa" w:w="1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Pemangku Kepentingan</w:t>
            </w:r>
          </w:p>
        </w:tc>
        <w:tc>
          <w:tcPr>
            <w:tcW w:type="dxa" w:w="33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Kebutuhan Utama</w:t>
            </w:r>
          </w:p>
        </w:tc>
        <w:tc>
          <w:tcPr>
            <w:tcW w:type="dxa" w:w="3926"/>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Harapan terhadap SMKI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Pemegang Polis / Nasabah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Keamanan data pribadi dan kesehatan</w:t>
            </w:r>
          </w:p>
          <w:p>
            <w:pPr>
              <w:spacing w:before="30" w:after="30"/>
            </w:pPr>
            <w:r>
              <w:rPr>
                <w:rFonts w:ascii="Arial" w:cs="Arial" w:eastAsia="Arial" w:hAnsi="Arial"/>
                <w:sz w:val="19"/>
                <w:szCs w:val="19"/>
              </w:rPr>
              <w:t xml:space="preserve">Kerahasiaan informasi polis dan klaim</w:t>
            </w:r>
          </w:p>
          <w:p>
            <w:pPr>
              <w:spacing w:before="30" w:after="30"/>
            </w:pPr>
            <w:r>
              <w:rPr>
                <w:rFonts w:ascii="Arial" w:cs="Arial" w:eastAsia="Arial" w:hAnsi="Arial"/>
                <w:sz w:val="19"/>
                <w:szCs w:val="19"/>
              </w:rPr>
              <w:t xml:space="preserve">Ketersediaan layanan digital 24/7</w:t>
            </w:r>
          </w:p>
        </w:tc>
        <w:tc>
          <w:tcPr>
            <w:tcW w:type="dxa" w:w="3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Data tidak bocor atau disalahgunakan</w:t>
            </w:r>
          </w:p>
          <w:p>
            <w:pPr>
              <w:spacing w:before="30" w:after="30"/>
            </w:pPr>
            <w:r>
              <w:rPr>
                <w:rFonts w:ascii="Arial" w:cs="Arial" w:eastAsia="Arial" w:hAnsi="Arial"/>
                <w:sz w:val="19"/>
                <w:szCs w:val="19"/>
              </w:rPr>
              <w:t xml:space="preserve">Proses klaim cepat tanpa gangguan sistem</w:t>
            </w:r>
          </w:p>
          <w:p>
            <w:pPr>
              <w:spacing w:before="30" w:after="30"/>
            </w:pPr>
            <w:r>
              <w:rPr>
                <w:rFonts w:ascii="Arial" w:cs="Arial" w:eastAsia="Arial" w:hAnsi="Arial"/>
                <w:sz w:val="19"/>
                <w:szCs w:val="19"/>
              </w:rPr>
              <w:t xml:space="preserve">Notifikasi jika terjadi insiden keamanan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OJK (Otoritas Jasa Keuangan)</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Kepatuhan POJK tentang TI dan keamanan siber</w:t>
            </w:r>
          </w:p>
          <w:p>
            <w:pPr>
              <w:spacing w:before="30" w:after="30"/>
            </w:pPr>
            <w:r>
              <w:rPr>
                <w:rFonts w:ascii="Arial" w:cs="Arial" w:eastAsia="Arial" w:hAnsi="Arial"/>
                <w:sz w:val="19"/>
                <w:szCs w:val="19"/>
              </w:rPr>
              <w:t xml:space="preserve">Pelaporan insiden dalam 14 hari kerja</w:t>
            </w:r>
          </w:p>
          <w:p>
            <w:pPr>
              <w:spacing w:before="30" w:after="30"/>
            </w:pPr>
            <w:r>
              <w:rPr>
                <w:rFonts w:ascii="Arial" w:cs="Arial" w:eastAsia="Arial" w:hAnsi="Arial"/>
                <w:sz w:val="19"/>
                <w:szCs w:val="19"/>
              </w:rPr>
              <w:t xml:space="preserve">Implementasi manajemen risiko TI yang efektif</w:t>
            </w:r>
          </w:p>
        </w:tc>
        <w:tc>
          <w:tcPr>
            <w:tcW w:type="dxa" w:w="39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Audit trail yang lengkap</w:t>
            </w:r>
          </w:p>
          <w:p>
            <w:pPr>
              <w:spacing w:before="30" w:after="30"/>
            </w:pPr>
            <w:r>
              <w:rPr>
                <w:rFonts w:ascii="Arial" w:cs="Arial" w:eastAsia="Arial" w:hAnsi="Arial"/>
                <w:sz w:val="19"/>
                <w:szCs w:val="19"/>
              </w:rPr>
              <w:t xml:space="preserve">SMKI tersertifikasi ISO 27001</w:t>
            </w:r>
          </w:p>
          <w:p>
            <w:pPr>
              <w:spacing w:before="30" w:after="30"/>
            </w:pPr>
            <w:r>
              <w:rPr>
                <w:rFonts w:ascii="Arial" w:cs="Arial" w:eastAsia="Arial" w:hAnsi="Arial"/>
                <w:sz w:val="19"/>
                <w:szCs w:val="19"/>
              </w:rPr>
              <w:t xml:space="preserve">Laporan berkala kinerja keamanan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BSSN (Badan Siber &amp; Sandi Negara)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Kepatuhan terhadap SNSSIK</w:t>
            </w:r>
          </w:p>
          <w:p>
            <w:pPr>
              <w:spacing w:before="30" w:after="30"/>
            </w:pPr>
            <w:r>
              <w:rPr>
                <w:rFonts w:ascii="Arial" w:cs="Arial" w:eastAsia="Arial" w:hAnsi="Arial"/>
                <w:sz w:val="19"/>
                <w:szCs w:val="19"/>
              </w:rPr>
              <w:t xml:space="preserve">Pelaporan insiden siber</w:t>
            </w:r>
          </w:p>
          <w:p>
            <w:pPr>
              <w:spacing w:before="30" w:after="30"/>
            </w:pPr>
            <w:r>
              <w:rPr>
                <w:rFonts w:ascii="Arial" w:cs="Arial" w:eastAsia="Arial" w:hAnsi="Arial"/>
                <w:sz w:val="19"/>
                <w:szCs w:val="19"/>
              </w:rPr>
              <w:t xml:space="preserve">Implementasi kerangka keamanan siber nasional</w:t>
            </w:r>
          </w:p>
        </w:tc>
        <w:tc>
          <w:tcPr>
            <w:tcW w:type="dxa" w:w="3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Koordinasi dalam penanganan insiden siber nasional</w:t>
            </w:r>
          </w:p>
          <w:p>
            <w:pPr>
              <w:spacing w:before="30" w:after="30"/>
            </w:pPr>
            <w:r>
              <w:rPr>
                <w:rFonts w:ascii="Arial" w:cs="Arial" w:eastAsia="Arial" w:hAnsi="Arial"/>
                <w:sz w:val="19"/>
                <w:szCs w:val="19"/>
              </w:rPr>
              <w:t xml:space="preserve">Penerapan standar kriptografi nasional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Mitra Bank (Bancassurance)</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Keamanan data nasabah bersama dalam produk bancassurance</w:t>
            </w:r>
          </w:p>
          <w:p>
            <w:pPr>
              <w:spacing w:before="30" w:after="30"/>
            </w:pPr>
            <w:r>
              <w:rPr>
                <w:rFonts w:ascii="Arial" w:cs="Arial" w:eastAsia="Arial" w:hAnsi="Arial"/>
                <w:sz w:val="19"/>
                <w:szCs w:val="19"/>
              </w:rPr>
              <w:t xml:space="preserve">SLA integrasi API yang andal</w:t>
            </w:r>
          </w:p>
          <w:p>
            <w:pPr>
              <w:spacing w:before="30" w:after="30"/>
            </w:pPr>
            <w:r>
              <w:rPr>
                <w:rFonts w:ascii="Arial" w:cs="Arial" w:eastAsia="Arial" w:hAnsi="Arial"/>
                <w:sz w:val="19"/>
                <w:szCs w:val="19"/>
              </w:rPr>
              <w:t xml:space="preserve">Kepatuhan PCI-DSS untuk transaksi premi</w:t>
            </w:r>
          </w:p>
        </w:tc>
        <w:tc>
          <w:tcPr>
            <w:tcW w:type="dxa" w:w="39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Perjanjian keamanan bersama (joint security agreement)</w:t>
            </w:r>
          </w:p>
          <w:p>
            <w:pPr>
              <w:spacing w:before="30" w:after="30"/>
            </w:pPr>
            <w:r>
              <w:rPr>
                <w:rFonts w:ascii="Arial" w:cs="Arial" w:eastAsia="Arial" w:hAnsi="Arial"/>
                <w:sz w:val="19"/>
                <w:szCs w:val="19"/>
              </w:rPr>
              <w:t xml:space="preserve">Audit keamanan berkala</w:t>
            </w:r>
          </w:p>
          <w:p>
            <w:pPr>
              <w:spacing w:before="30" w:after="30"/>
            </w:pPr>
            <w:r>
              <w:rPr>
                <w:rFonts w:ascii="Arial" w:cs="Arial" w:eastAsia="Arial" w:hAnsi="Arial"/>
                <w:sz w:val="19"/>
                <w:szCs w:val="19"/>
              </w:rPr>
              <w:t xml:space="preserve">Insiden tidak mempengaruhi reputasi bank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Karyawan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Prosedur keamanan yang jelas dan dapat diikuti</w:t>
            </w:r>
          </w:p>
          <w:p>
            <w:pPr>
              <w:spacing w:before="30" w:after="30"/>
            </w:pPr>
            <w:r>
              <w:rPr>
                <w:rFonts w:ascii="Arial" w:cs="Arial" w:eastAsia="Arial" w:hAnsi="Arial"/>
                <w:sz w:val="19"/>
                <w:szCs w:val="19"/>
              </w:rPr>
              <w:t xml:space="preserve">Pelatihan dan awareness yang memadai</w:t>
            </w:r>
          </w:p>
          <w:p>
            <w:pPr>
              <w:spacing w:before="30" w:after="30"/>
            </w:pPr>
            <w:r>
              <w:rPr>
                <w:rFonts w:ascii="Arial" w:cs="Arial" w:eastAsia="Arial" w:hAnsi="Arial"/>
                <w:sz w:val="19"/>
                <w:szCs w:val="19"/>
              </w:rPr>
              <w:t xml:space="preserve">Perlindungan data pribadi karyawan</w:t>
            </w:r>
          </w:p>
        </w:tc>
        <w:tc>
          <w:tcPr>
            <w:tcW w:type="dxa" w:w="3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Kebijakan yang tidak menghambat produktivitas</w:t>
            </w:r>
          </w:p>
          <w:p>
            <w:pPr>
              <w:spacing w:before="30" w:after="30"/>
            </w:pPr>
            <w:r>
              <w:rPr>
                <w:rFonts w:ascii="Arial" w:cs="Arial" w:eastAsia="Arial" w:hAnsi="Arial"/>
                <w:sz w:val="19"/>
                <w:szCs w:val="19"/>
              </w:rPr>
              <w:t xml:space="preserve">Saluran pelaporan insiden yang mudah</w:t>
            </w:r>
          </w:p>
          <w:p>
            <w:pPr>
              <w:spacing w:before="30" w:after="30"/>
            </w:pPr>
            <w:r>
              <w:rPr>
                <w:rFonts w:ascii="Arial" w:cs="Arial" w:eastAsia="Arial" w:hAnsi="Arial"/>
                <w:sz w:val="19"/>
                <w:szCs w:val="19"/>
              </w:rPr>
              <w:t xml:space="preserve">Perlindungan dari ancaman insider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Direksi &amp; Dewan Komisaris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Dashboard risiko keamanan informasi</w:t>
            </w:r>
          </w:p>
          <w:p>
            <w:pPr>
              <w:spacing w:before="30" w:after="30"/>
            </w:pPr>
            <w:r>
              <w:rPr>
                <w:rFonts w:ascii="Arial" w:cs="Arial" w:eastAsia="Arial" w:hAnsi="Arial"/>
                <w:sz w:val="19"/>
                <w:szCs w:val="19"/>
              </w:rPr>
              <w:t xml:space="preserve">Kepastian kepatuhan regulasi</w:t>
            </w:r>
          </w:p>
          <w:p>
            <w:pPr>
              <w:spacing w:before="30" w:after="30"/>
            </w:pPr>
            <w:r>
              <w:rPr>
                <w:rFonts w:ascii="Arial" w:cs="Arial" w:eastAsia="Arial" w:hAnsi="Arial"/>
                <w:sz w:val="19"/>
                <w:szCs w:val="19"/>
              </w:rPr>
              <w:t xml:space="preserve">Return on Security Investment (RoSI)</w:t>
            </w:r>
          </w:p>
        </w:tc>
        <w:tc>
          <w:tcPr>
            <w:tcW w:type="dxa" w:w="39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SMKI mendukung tujuan bisnis</w:t>
            </w:r>
          </w:p>
          <w:p>
            <w:pPr>
              <w:spacing w:before="30" w:after="30"/>
            </w:pPr>
            <w:r>
              <w:rPr>
                <w:rFonts w:ascii="Arial" w:cs="Arial" w:eastAsia="Arial" w:hAnsi="Arial"/>
                <w:sz w:val="19"/>
                <w:szCs w:val="19"/>
              </w:rPr>
              <w:t xml:space="preserve">Laporan Management Review berkala</w:t>
            </w:r>
          </w:p>
          <w:p>
            <w:pPr>
              <w:spacing w:before="30" w:after="30"/>
            </w:pPr>
            <w:r>
              <w:rPr>
                <w:rFonts w:ascii="Arial" w:cs="Arial" w:eastAsia="Arial" w:hAnsi="Arial"/>
                <w:sz w:val="19"/>
                <w:szCs w:val="19"/>
              </w:rPr>
              <w:t xml:space="preserve">Tidak ada insiden yang merusak reputasi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Vendor &amp; Pemasok TI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Persyaratan keamanan dalam kontrak yang jelas</w:t>
            </w:r>
          </w:p>
          <w:p>
            <w:pPr>
              <w:spacing w:before="30" w:after="30"/>
            </w:pPr>
            <w:r>
              <w:rPr>
                <w:rFonts w:ascii="Arial" w:cs="Arial" w:eastAsia="Arial" w:hAnsi="Arial"/>
                <w:sz w:val="19"/>
                <w:szCs w:val="19"/>
              </w:rPr>
              <w:t xml:space="preserve">Akses yang diperlukan untuk mendukung layanan</w:t>
            </w:r>
          </w:p>
          <w:p>
            <w:pPr>
              <w:spacing w:before="30" w:after="30"/>
            </w:pPr>
            <w:r>
              <w:rPr>
                <w:rFonts w:ascii="Arial" w:cs="Arial" w:eastAsia="Arial" w:hAnsi="Arial"/>
                <w:sz w:val="19"/>
                <w:szCs w:val="19"/>
              </w:rPr>
              <w:t xml:space="preserve">Proses onboarding yang terstruktur</w:t>
            </w:r>
          </w:p>
        </w:tc>
        <w:tc>
          <w:tcPr>
            <w:tcW w:type="dxa" w:w="3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SLA yang jelas dengan klausul keamanan</w:t>
            </w:r>
          </w:p>
          <w:p>
            <w:pPr>
              <w:spacing w:before="30" w:after="30"/>
            </w:pPr>
            <w:r>
              <w:rPr>
                <w:rFonts w:ascii="Arial" w:cs="Arial" w:eastAsia="Arial" w:hAnsi="Arial"/>
                <w:sz w:val="19"/>
                <w:szCs w:val="19"/>
              </w:rPr>
              <w:t xml:space="preserve">Pembayaran tepat waktu atas layanan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Reasuransi &amp; Mitra AJK</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Keamanan data aktuaria dan data risiko yang di-share</w:t>
            </w:r>
          </w:p>
          <w:p>
            <w:pPr>
              <w:spacing w:before="30" w:after="30"/>
            </w:pPr>
            <w:r>
              <w:rPr>
                <w:rFonts w:ascii="Arial" w:cs="Arial" w:eastAsia="Arial" w:hAnsi="Arial"/>
                <w:sz w:val="19"/>
                <w:szCs w:val="19"/>
              </w:rPr>
              <w:t xml:space="preserve">Enkripsi dalam pertukaran data</w:t>
            </w:r>
          </w:p>
        </w:tc>
        <w:tc>
          <w:tcPr>
            <w:tcW w:type="dxa" w:w="39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Perjanjian kerahasiaan (NDA) yang kuat</w:t>
            </w:r>
          </w:p>
          <w:p>
            <w:pPr>
              <w:spacing w:before="30" w:after="30"/>
            </w:pPr>
            <w:r>
              <w:rPr>
                <w:rFonts w:ascii="Arial" w:cs="Arial" w:eastAsia="Arial" w:hAnsi="Arial"/>
                <w:sz w:val="19"/>
                <w:szCs w:val="19"/>
              </w:rPr>
              <w:t xml:space="preserve">Audit keamanan terbatas secara berkala</w:t>
            </w:r>
          </w:p>
        </w:tc>
      </w:tr>
    </w:tbl>
    <w:p>
      <w:pPr>
        <w:spacing w:before="160" w:after="0"/>
      </w:pPr>
      <w:r>
        <w:t xml:space="preserve"/>
      </w:r>
    </w:p>
    <w:p>
      <w:r>
        <w:br w:type="page"/>
      </w:r>
    </w:p>
    <w:p>
      <w:pPr>
        <w:pStyle w:val="Heading1"/>
        <w:spacing w:before="480" w:after="160"/>
      </w:pPr>
      <w:r>
        <w:rPr>
          <w:rFonts w:ascii="Arial" w:cs="Arial" w:eastAsia="Arial" w:hAnsi="Arial"/>
          <w:b/>
          <w:bCs/>
          <w:color w:val="1F3864"/>
          <w:sz w:val="34"/>
          <w:szCs w:val="34"/>
        </w:rPr>
        <w:t xml:space="preserve">5. Ruang Lingkup SMKI (Klausul 4.3)</w:t>
      </w:r>
    </w:p>
    <w:p>
      <w:pPr>
        <w:pStyle w:val="Heading2"/>
        <w:spacing w:before="320" w:after="120"/>
      </w:pPr>
      <w:r>
        <w:rPr>
          <w:rFonts w:ascii="Arial" w:cs="Arial" w:eastAsia="Arial" w:hAnsi="Arial"/>
          <w:b/>
          <w:bCs/>
          <w:color w:val="2E75B6"/>
          <w:sz w:val="26"/>
          <w:szCs w:val="26"/>
        </w:rPr>
        <w:t xml:space="preserve">5.1 Pernyataan Ruang Lingkup</w:t>
      </w:r>
    </w:p>
    <w:p>
      <w:pPr>
        <w:spacing w:before="80" w:after="80"/>
      </w:pPr>
      <w:r>
        <w:rPr>
          <w:rFonts w:ascii="Arial" w:cs="Arial" w:eastAsia="Arial" w:hAnsi="Arial"/>
          <w:sz w:val="22"/>
          <w:szCs w:val="22"/>
        </w:rPr>
        <w:t xml:space="preserve">SMKI PT Asuransi [Nama Perusahaan] mencakup seluruh proses bisnis, aset informasi, sistem, infrastruktur TI, dan sumber daya manusia yang terlibat dalam:</w:t>
      </w:r>
    </w:p>
    <w:p>
      <w:pPr>
        <w:pStyle w:val="ListParagraph"/>
        <w:numPr>
          <w:ilvl w:val="0"/>
          <w:numId w:val="2"/>
        </w:numPr>
        <w:spacing w:before="60" w:after="60"/>
        <w:ind w:left="720" w:hanging="360"/>
      </w:pPr>
      <w:r>
        <w:rPr>
          <w:rFonts w:ascii="Arial" w:cs="Arial" w:eastAsia="Arial" w:hAnsi="Arial"/>
          <w:sz w:val="22"/>
          <w:szCs w:val="22"/>
        </w:rPr>
        <w:t xml:space="preserve">Pengelolaan data pemegang polis: akuisisi, penyimpanan, pemrosesan, dan penghapusan data nasabah</w:t>
      </w:r>
    </w:p>
    <w:p>
      <w:pPr>
        <w:pStyle w:val="ListParagraph"/>
        <w:numPr>
          <w:ilvl w:val="0"/>
          <w:numId w:val="2"/>
        </w:numPr>
        <w:spacing w:before="60" w:after="60"/>
        <w:ind w:left="720" w:hanging="360"/>
      </w:pPr>
      <w:r>
        <w:rPr>
          <w:rFonts w:ascii="Arial" w:cs="Arial" w:eastAsia="Arial" w:hAnsi="Arial"/>
          <w:sz w:val="22"/>
          <w:szCs w:val="22"/>
        </w:rPr>
        <w:t xml:space="preserve">Operasional sistem asuransi inti (core insurance system): policy administration, underwriting, klaim</w:t>
      </w:r>
    </w:p>
    <w:p>
      <w:pPr>
        <w:pStyle w:val="ListParagraph"/>
        <w:numPr>
          <w:ilvl w:val="0"/>
          <w:numId w:val="2"/>
        </w:numPr>
        <w:spacing w:before="60" w:after="60"/>
        <w:ind w:left="720" w:hanging="360"/>
      </w:pPr>
      <w:r>
        <w:rPr>
          <w:rFonts w:ascii="Arial" w:cs="Arial" w:eastAsia="Arial" w:hAnsi="Arial"/>
          <w:sz w:val="22"/>
          <w:szCs w:val="22"/>
        </w:rPr>
        <w:t xml:space="preserve">Layanan digital: portal nasabah, mobile application, API bancassurance, digital acquisition</w:t>
      </w:r>
    </w:p>
    <w:p>
      <w:pPr>
        <w:pStyle w:val="ListParagraph"/>
        <w:numPr>
          <w:ilvl w:val="0"/>
          <w:numId w:val="2"/>
        </w:numPr>
        <w:spacing w:before="60" w:after="60"/>
        <w:ind w:left="720" w:hanging="360"/>
      </w:pPr>
      <w:r>
        <w:rPr>
          <w:rFonts w:ascii="Arial" w:cs="Arial" w:eastAsia="Arial" w:hAnsi="Arial"/>
          <w:sz w:val="22"/>
          <w:szCs w:val="22"/>
        </w:rPr>
        <w:t xml:space="preserve">Pengelolaan investasi dan pelaporan aktuaria</w:t>
      </w:r>
    </w:p>
    <w:p>
      <w:pPr>
        <w:pStyle w:val="ListParagraph"/>
        <w:numPr>
          <w:ilvl w:val="0"/>
          <w:numId w:val="2"/>
        </w:numPr>
        <w:spacing w:before="60" w:after="60"/>
        <w:ind w:left="720" w:hanging="360"/>
      </w:pPr>
      <w:r>
        <w:rPr>
          <w:rFonts w:ascii="Arial" w:cs="Arial" w:eastAsia="Arial" w:hAnsi="Arial"/>
          <w:sz w:val="22"/>
          <w:szCs w:val="22"/>
        </w:rPr>
        <w:t xml:space="preserve">Operasional TI: data center, jaringan, infrastruktur cloud, endpoint</w:t>
      </w:r>
    </w:p>
    <w:p>
      <w:pPr>
        <w:pStyle w:val="ListParagraph"/>
        <w:numPr>
          <w:ilvl w:val="0"/>
          <w:numId w:val="2"/>
        </w:numPr>
        <w:spacing w:before="60" w:after="60"/>
        <w:ind w:left="720" w:hanging="360"/>
      </w:pPr>
      <w:r>
        <w:rPr>
          <w:rFonts w:ascii="Arial" w:cs="Arial" w:eastAsia="Arial" w:hAnsi="Arial"/>
          <w:sz w:val="22"/>
          <w:szCs w:val="22"/>
        </w:rPr>
        <w:t xml:space="preserve">Manajemen vendor dan rantai pasokan TI</w:t>
      </w:r>
    </w:p>
    <w:p>
      <w:pPr>
        <w:pStyle w:val="ListParagraph"/>
        <w:numPr>
          <w:ilvl w:val="0"/>
          <w:numId w:val="2"/>
        </w:numPr>
        <w:spacing w:before="60" w:after="60"/>
        <w:ind w:left="720" w:hanging="360"/>
      </w:pPr>
      <w:r>
        <w:rPr>
          <w:rFonts w:ascii="Arial" w:cs="Arial" w:eastAsia="Arial" w:hAnsi="Arial"/>
          <w:sz w:val="22"/>
          <w:szCs w:val="22"/>
        </w:rPr>
        <w:t xml:space="preserve">Seluruh lokasi operasional: Kantor Pusat dan Kantor Perwakilan</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5.2 Unit Organisasi dalam 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c>
          <w:tcPr>
            <w:tcW w:type="dxa" w:w="1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Unit/Direktorat</w:t>
            </w:r>
          </w:p>
        </w:tc>
        <w:tc>
          <w:tcPr>
            <w:tcW w:type="dxa" w:w="3713"/>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Sub-Unit</w:t>
            </w:r>
          </w:p>
        </w:tc>
        <w:tc>
          <w:tcPr>
            <w:tcW w:type="dxa" w:w="3713"/>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Aset Informasi Kritis</w:t>
            </w:r>
          </w:p>
        </w:tc>
      </w:tr>
      <w:tr>
        <w:tc>
          <w:tcPr>
            <w:tcW w:type="dxa" w:w="1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bCs/>
                <w:sz w:val="20"/>
                <w:szCs w:val="20"/>
              </w:rPr>
              <w:t xml:space="preserve">CTISO</w:t>
            </w:r>
          </w:p>
        </w:tc>
        <w:tc>
          <w:tcPr>
            <w:tcW w:type="dxa" w:w="37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Digital Solution Development, IT Operation, IT Governance, Dev &amp; SecOps</w:t>
            </w:r>
          </w:p>
        </w:tc>
        <w:tc>
          <w:tcPr>
            <w:tcW w:type="dxa" w:w="37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Seluruh sistem TI, source code, konfigurasi infrastruktur, log sistem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20"/>
                <w:szCs w:val="20"/>
              </w:rPr>
              <w:t xml:space="preserve">CBO</w:t>
            </w:r>
          </w:p>
        </w:tc>
        <w:tc>
          <w:tcPr>
            <w:tcW w:type="dxa" w:w="37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Agency, Digital Acq, Bank Partnership, Corporate, Product Mgmt, Partnership AJK</w:t>
            </w:r>
          </w:p>
        </w:tc>
        <w:tc>
          <w:tcPr>
            <w:tcW w:type="dxa" w:w="37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Data prospek &amp; nasabah, data produk, data kinerja agen, integrasi API bank</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sz w:val="20"/>
                <w:szCs w:val="20"/>
              </w:rPr>
              <w:t xml:space="preserve">Operation Director</w:t>
            </w:r>
          </w:p>
        </w:tc>
        <w:tc>
          <w:tcPr>
            <w:tcW w:type="dxa" w:w="37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Underwriting, Policyowner Relation, Claim, Customer Management &amp; Up-Sell</w:t>
            </w:r>
          </w:p>
        </w:tc>
        <w:tc>
          <w:tcPr>
            <w:tcW w:type="dxa" w:w="37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Data polis, data klaim, data medis nasabah, data aktuaria individual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20"/>
                <w:szCs w:val="20"/>
              </w:rPr>
              <w:t xml:space="preserve">Finance &amp; Investment</w:t>
            </w:r>
          </w:p>
        </w:tc>
        <w:tc>
          <w:tcPr>
            <w:tcW w:type="dxa" w:w="37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Finance, Accounting, Investment, Actuary Pricing &amp; Valuation</w:t>
            </w:r>
          </w:p>
        </w:tc>
        <w:tc>
          <w:tcPr>
            <w:tcW w:type="dxa" w:w="37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Data keuangan, data investasi &amp; portofolio, model aktuaria, laporan valuasi</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sz w:val="20"/>
                <w:szCs w:val="20"/>
              </w:rPr>
              <w:t xml:space="preserve">Human Capital &amp; GA</w:t>
            </w:r>
          </w:p>
        </w:tc>
        <w:tc>
          <w:tcPr>
            <w:tcW w:type="dxa" w:w="37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Human Capital Management, General Affairs</w:t>
            </w:r>
          </w:p>
        </w:tc>
        <w:tc>
          <w:tcPr>
            <w:tcW w:type="dxa" w:w="37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Data karyawan, penggajian, rekrutmen, data identitas &amp; biometrik</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20"/>
                <w:szCs w:val="20"/>
              </w:rPr>
              <w:t xml:space="preserve">Compliance Director</w:t>
            </w:r>
          </w:p>
        </w:tc>
        <w:tc>
          <w:tcPr>
            <w:tcW w:type="dxa" w:w="37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Legal &amp; Compliance, Risk Management, Stress &amp; Scenario</w:t>
            </w:r>
          </w:p>
        </w:tc>
        <w:tc>
          <w:tcPr>
            <w:tcW w:type="dxa" w:w="37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Data regulasi &amp; kepatuhan, hasil audit, data risiko, laporan stress test</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pPr>
              <w:jc w:val="left"/>
            </w:pPr>
            <w:r>
              <w:rPr>
                <w:rFonts w:ascii="Arial" w:cs="Arial" w:eastAsia="Arial" w:hAnsi="Arial"/>
                <w:b/>
                <w:bCs/>
                <w:sz w:val="20"/>
                <w:szCs w:val="20"/>
              </w:rPr>
              <w:t xml:space="preserve">Internal Audit</w:t>
            </w:r>
          </w:p>
        </w:tc>
        <w:tc>
          <w:tcPr>
            <w:tcW w:type="dxa" w:w="37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Audit SMKI, audit operasional</w:t>
            </w:r>
          </w:p>
        </w:tc>
        <w:tc>
          <w:tcPr>
            <w:tcW w:type="dxa" w:w="37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Laporan audit, temuan, bukti kepatuhan SMKI</w:t>
            </w:r>
          </w:p>
        </w:tc>
      </w:tr>
    </w:tbl>
    <w:p>
      <w:pPr>
        <w:spacing w:before="80" w:after="0"/>
      </w:pPr>
      <w:r>
        <w:t xml:space="preserve"/>
      </w:r>
    </w:p>
    <w:p>
      <w:pPr>
        <w:pStyle w:val="Heading2"/>
        <w:spacing w:before="320" w:after="120"/>
      </w:pPr>
      <w:r>
        <w:rPr>
          <w:rFonts w:ascii="Arial" w:cs="Arial" w:eastAsia="Arial" w:hAnsi="Arial"/>
          <w:b/>
          <w:bCs/>
          <w:color w:val="2E75B6"/>
          <w:sz w:val="26"/>
          <w:szCs w:val="26"/>
        </w:rPr>
        <w:t xml:space="preserve">5.3 Batas Ruang Lingkup</w:t>
      </w:r>
    </w:p>
    <w:p>
      <w:pPr>
        <w:spacing w:before="80" w:after="80"/>
      </w:pPr>
      <w:r>
        <w:rPr>
          <w:rFonts w:ascii="Arial" w:cs="Arial" w:eastAsia="Arial" w:hAnsi="Arial"/>
          <w:sz w:val="22"/>
          <w:szCs w:val="22"/>
        </w:rPr>
        <w:t xml:space="preserve">Yang termasuk dalam ruang lingkup SMKI:</w:t>
      </w:r>
    </w:p>
    <w:p>
      <w:pPr>
        <w:pStyle w:val="ListParagraph"/>
        <w:numPr>
          <w:ilvl w:val="0"/>
          <w:numId w:val="2"/>
        </w:numPr>
        <w:spacing w:before="60" w:after="60"/>
        <w:ind w:left="720" w:hanging="360"/>
      </w:pPr>
      <w:r>
        <w:rPr>
          <w:rFonts w:ascii="Arial" w:cs="Arial" w:eastAsia="Arial" w:hAnsi="Arial"/>
          <w:sz w:val="22"/>
          <w:szCs w:val="22"/>
        </w:rPr>
        <w:t xml:space="preserve">Semua sistem dan layanan yang memproses data nasabah pemegang polis</w:t>
      </w:r>
    </w:p>
    <w:p>
      <w:pPr>
        <w:pStyle w:val="ListParagraph"/>
        <w:numPr>
          <w:ilvl w:val="0"/>
          <w:numId w:val="2"/>
        </w:numPr>
        <w:spacing w:before="60" w:after="60"/>
        <w:ind w:left="720" w:hanging="360"/>
      </w:pPr>
      <w:r>
        <w:rPr>
          <w:rFonts w:ascii="Arial" w:cs="Arial" w:eastAsia="Arial" w:hAnsi="Arial"/>
          <w:sz w:val="22"/>
          <w:szCs w:val="22"/>
        </w:rPr>
        <w:t xml:space="preserve">Infrastruktur TI milik perusahaan (on-premise dan cloud yang dikontrak)</w:t>
      </w:r>
    </w:p>
    <w:p>
      <w:pPr>
        <w:pStyle w:val="ListParagraph"/>
        <w:numPr>
          <w:ilvl w:val="0"/>
          <w:numId w:val="2"/>
        </w:numPr>
        <w:spacing w:before="60" w:after="60"/>
        <w:ind w:left="720" w:hanging="360"/>
      </w:pPr>
      <w:r>
        <w:rPr>
          <w:rFonts w:ascii="Arial" w:cs="Arial" w:eastAsia="Arial" w:hAnsi="Arial"/>
          <w:sz w:val="22"/>
          <w:szCs w:val="22"/>
        </w:rPr>
        <w:t xml:space="preserve">Perangkat end-user (laptop, mobile) yang digunakan untuk mengakses sistem perusahaan</w:t>
      </w:r>
    </w:p>
    <w:p>
      <w:pPr>
        <w:pStyle w:val="ListParagraph"/>
        <w:numPr>
          <w:ilvl w:val="0"/>
          <w:numId w:val="2"/>
        </w:numPr>
        <w:spacing w:before="60" w:after="60"/>
        <w:ind w:left="720" w:hanging="360"/>
      </w:pPr>
      <w:r>
        <w:rPr>
          <w:rFonts w:ascii="Arial" w:cs="Arial" w:eastAsia="Arial" w:hAnsi="Arial"/>
          <w:sz w:val="22"/>
          <w:szCs w:val="22"/>
        </w:rPr>
        <w:t xml:space="preserve">Layanan pihak ketiga kritis yang menangani data sensitif perusahaan</w:t>
      </w:r>
    </w:p>
    <w:p>
      <w:pPr>
        <w:spacing w:before="80" w:after="0"/>
      </w:pPr>
      <w:r>
        <w:t xml:space="preserve"/>
      </w:r>
    </w:p>
    <w:p>
      <w:pPr>
        <w:spacing w:before="80" w:after="80"/>
      </w:pPr>
      <w:r>
        <w:rPr>
          <w:rFonts w:ascii="Arial" w:cs="Arial" w:eastAsia="Arial" w:hAnsi="Arial"/>
          <w:sz w:val="22"/>
          <w:szCs w:val="22"/>
        </w:rPr>
        <w:t xml:space="preserve">Yang dikecualikan dari ruang lingkup SMKI:</w:t>
      </w:r>
    </w:p>
    <w:p>
      <w:pPr>
        <w:pStyle w:val="ListParagraph"/>
        <w:numPr>
          <w:ilvl w:val="0"/>
          <w:numId w:val="2"/>
        </w:numPr>
        <w:spacing w:before="60" w:after="60"/>
        <w:ind w:left="720" w:hanging="360"/>
      </w:pPr>
      <w:r>
        <w:rPr>
          <w:rFonts w:ascii="Arial" w:cs="Arial" w:eastAsia="Arial" w:hAnsi="Arial"/>
          <w:sz w:val="22"/>
          <w:szCs w:val="22"/>
        </w:rPr>
        <w:t xml:space="preserve">Sistem yang sepenuhnya dikelola dan dimiliki oleh bank mitra (kecuali pada titik integrasi API)</w:t>
      </w:r>
    </w:p>
    <w:p>
      <w:pPr>
        <w:pStyle w:val="ListParagraph"/>
        <w:numPr>
          <w:ilvl w:val="0"/>
          <w:numId w:val="2"/>
        </w:numPr>
        <w:spacing w:before="60" w:after="60"/>
        <w:ind w:left="720" w:hanging="360"/>
      </w:pPr>
      <w:r>
        <w:rPr>
          <w:rFonts w:ascii="Arial" w:cs="Arial" w:eastAsia="Arial" w:hAnsi="Arial"/>
          <w:sz w:val="22"/>
          <w:szCs w:val="22"/>
        </w:rPr>
        <w:t xml:space="preserve">Infrastruktur reasuransi yang sepenuhnya dikelola oleh mitra reasuransi</w:t>
      </w:r>
    </w:p>
    <w:p>
      <w:pPr>
        <w:spacing w:before="160" w:after="0"/>
      </w:pPr>
      <w:r>
        <w:t xml:space="preserve"/>
      </w:r>
    </w:p>
    <w:p>
      <w:r>
        <w:br w:type="page"/>
      </w:r>
    </w:p>
    <w:p>
      <w:pPr>
        <w:pStyle w:val="Heading1"/>
        <w:spacing w:before="480" w:after="160"/>
      </w:pPr>
      <w:r>
        <w:rPr>
          <w:rFonts w:ascii="Arial" w:cs="Arial" w:eastAsia="Arial" w:hAnsi="Arial"/>
          <w:b/>
          <w:bCs/>
          <w:color w:val="1F3864"/>
          <w:sz w:val="34"/>
          <w:szCs w:val="34"/>
        </w:rPr>
        <w:t xml:space="preserve">6. Sistem Manajemen Keamanan Informasi (Klausul 4.4)</w:t>
      </w:r>
    </w:p>
    <w:p>
      <w:pPr>
        <w:pStyle w:val="Heading2"/>
        <w:spacing w:before="320" w:after="120"/>
      </w:pPr>
      <w:r>
        <w:rPr>
          <w:rFonts w:ascii="Arial" w:cs="Arial" w:eastAsia="Arial" w:hAnsi="Arial"/>
          <w:b/>
          <w:bCs/>
          <w:color w:val="2E75B6"/>
          <w:sz w:val="26"/>
          <w:szCs w:val="26"/>
        </w:rPr>
        <w:t xml:space="preserve">6.1 Komitmen Implementasi SMKI</w:t>
      </w:r>
    </w:p>
    <w:p>
      <w:pPr>
        <w:spacing w:before="80" w:after="80"/>
      </w:pPr>
      <w:r>
        <w:rPr>
          <w:rFonts w:ascii="Arial" w:cs="Arial" w:eastAsia="Arial" w:hAnsi="Arial"/>
          <w:sz w:val="22"/>
          <w:szCs w:val="22"/>
        </w:rPr>
        <w:t xml:space="preserve">Organisasi telah menetapkan, mengimplementasikan, memelihara, dan secara berkesinambungan meningkatkan SMKI sesuai persyaratan ISO/IEC 27001:2022. Komitmen ini diwujudkan melalui:</w:t>
      </w:r>
    </w:p>
    <w:p>
      <w:pPr>
        <w:pStyle w:val="ListParagraph"/>
        <w:numPr>
          <w:ilvl w:val="0"/>
          <w:numId w:val="2"/>
        </w:numPr>
        <w:spacing w:before="60" w:after="60"/>
        <w:ind w:left="720" w:hanging="360"/>
      </w:pPr>
      <w:r>
        <w:rPr>
          <w:rFonts w:ascii="Arial" w:cs="Arial" w:eastAsia="Arial" w:hAnsi="Arial"/>
          <w:sz w:val="22"/>
          <w:szCs w:val="22"/>
        </w:rPr>
        <w:t xml:space="preserve">Penetapan kebijakan keamanan informasi yang ditandatangani President Director</w:t>
      </w:r>
    </w:p>
    <w:p>
      <w:pPr>
        <w:pStyle w:val="ListParagraph"/>
        <w:numPr>
          <w:ilvl w:val="0"/>
          <w:numId w:val="2"/>
        </w:numPr>
        <w:spacing w:before="60" w:after="60"/>
        <w:ind w:left="720" w:hanging="360"/>
      </w:pPr>
      <w:r>
        <w:rPr>
          <w:rFonts w:ascii="Arial" w:cs="Arial" w:eastAsia="Arial" w:hAnsi="Arial"/>
          <w:sz w:val="22"/>
          <w:szCs w:val="22"/>
        </w:rPr>
        <w:t xml:space="preserve">Alokasi sumber daya (SDM, anggaran, teknologi) untuk program SMKI</w:t>
      </w:r>
    </w:p>
    <w:p>
      <w:pPr>
        <w:pStyle w:val="ListParagraph"/>
        <w:numPr>
          <w:ilvl w:val="0"/>
          <w:numId w:val="2"/>
        </w:numPr>
        <w:spacing w:before="60" w:after="60"/>
        <w:ind w:left="720" w:hanging="360"/>
      </w:pPr>
      <w:r>
        <w:rPr>
          <w:rFonts w:ascii="Arial" w:cs="Arial" w:eastAsia="Arial" w:hAnsi="Arial"/>
          <w:sz w:val="22"/>
          <w:szCs w:val="22"/>
        </w:rPr>
        <w:t xml:space="preserve">Siklus PDCA (Plan-Do-Check-Act) dalam pengelolaan SMKI</w:t>
      </w:r>
    </w:p>
    <w:p>
      <w:pPr>
        <w:pStyle w:val="ListParagraph"/>
        <w:numPr>
          <w:ilvl w:val="0"/>
          <w:numId w:val="2"/>
        </w:numPr>
        <w:spacing w:before="60" w:after="60"/>
        <w:ind w:left="720" w:hanging="360"/>
      </w:pPr>
      <w:r>
        <w:rPr>
          <w:rFonts w:ascii="Arial" w:cs="Arial" w:eastAsia="Arial" w:hAnsi="Arial"/>
          <w:sz w:val="22"/>
          <w:szCs w:val="22"/>
        </w:rPr>
        <w:t xml:space="preserve">Integrasi manajemen risiko keamanan informasi ke dalam enterprise risk management</w:t>
      </w:r>
    </w:p>
    <w:p>
      <w:pPr>
        <w:pStyle w:val="ListParagraph"/>
        <w:numPr>
          <w:ilvl w:val="0"/>
          <w:numId w:val="2"/>
        </w:numPr>
        <w:spacing w:before="60" w:after="60"/>
        <w:ind w:left="720" w:hanging="360"/>
      </w:pPr>
      <w:r>
        <w:rPr>
          <w:rFonts w:ascii="Arial" w:cs="Arial" w:eastAsia="Arial" w:hAnsi="Arial"/>
          <w:sz w:val="22"/>
          <w:szCs w:val="22"/>
        </w:rPr>
        <w:t xml:space="preserve">Program awareness dan pelatihan keamanan informasi tahunan untuk seluruh karyawan</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6.2 Siklus SMKI (PDCA)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Fase</w:t>
            </w:r>
          </w:p>
        </w:tc>
        <w:tc>
          <w:tcPr>
            <w:tcW w:type="dxa" w:w="2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Nama</w:t>
            </w:r>
          </w:p>
        </w:tc>
        <w:tc>
          <w:tcPr>
            <w:tcW w:type="dxa" w:w="6026"/>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Aktivitas Utama</w:t>
            </w:r>
          </w:p>
        </w:tc>
      </w:tr>
      <w:tr>
        <w:tc>
          <w:tcPr>
            <w:tcW w:type="dxa" w:w="1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center"/>
            </w:pPr>
            <w:r>
              <w:rPr>
                <w:rFonts w:ascii="Arial" w:cs="Arial" w:eastAsia="Arial" w:hAnsi="Arial"/>
                <w:b/>
                <w:bCs/>
                <w:sz w:val="20"/>
                <w:szCs w:val="20"/>
              </w:rPr>
              <w:t xml:space="preserve">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Rencanakan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Analisis konteks &amp; isu (Klausul 4)</w:t>
            </w:r>
          </w:p>
          <w:p>
            <w:pPr>
              <w:spacing w:before="30" w:after="30"/>
            </w:pPr>
            <w:r>
              <w:rPr>
                <w:rFonts w:ascii="Arial" w:cs="Arial" w:eastAsia="Arial" w:hAnsi="Arial"/>
                <w:sz w:val="19"/>
                <w:szCs w:val="19"/>
              </w:rPr>
              <w:t xml:space="preserve">Penilaian risiko &amp; peluang (Klausul 6.1)</w:t>
            </w:r>
          </w:p>
          <w:p>
            <w:pPr>
              <w:spacing w:before="30" w:after="30"/>
            </w:pPr>
            <w:r>
              <w:rPr>
                <w:rFonts w:ascii="Arial" w:cs="Arial" w:eastAsia="Arial" w:hAnsi="Arial"/>
                <w:sz w:val="19"/>
                <w:szCs w:val="19"/>
              </w:rPr>
              <w:t xml:space="preserve">Tetapkan sasaran keamanan (Klausul 6.2)</w:t>
            </w:r>
          </w:p>
          <w:p>
            <w:pPr>
              <w:spacing w:before="30" w:after="30"/>
            </w:pPr>
            <w:r>
              <w:rPr>
                <w:rFonts w:ascii="Arial" w:cs="Arial" w:eastAsia="Arial" w:hAnsi="Arial"/>
                <w:sz w:val="19"/>
                <w:szCs w:val="19"/>
              </w:rPr>
              <w:t xml:space="preserve">Buat SoA &amp; rencana penanganan risiko (Klausul 6.1.3)</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sz w:val="20"/>
                <w:szCs w:val="20"/>
              </w:rPr>
              <w:t xml:space="preserve">DO</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Laksanakan</w:t>
            </w:r>
          </w:p>
        </w:tc>
        <w:tc>
          <w:tcPr>
            <w:tcW w:type="dxa" w:w="602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before="30" w:after="30"/>
            </w:pPr>
            <w:r>
              <w:rPr>
                <w:rFonts w:ascii="Arial" w:cs="Arial" w:eastAsia="Arial" w:hAnsi="Arial"/>
                <w:sz w:val="19"/>
                <w:szCs w:val="19"/>
              </w:rPr>
              <w:t xml:space="preserve">Implementasi kontrol keamanan (Klausul 8)</w:t>
            </w:r>
          </w:p>
          <w:p>
            <w:pPr>
              <w:spacing w:before="30" w:after="30"/>
            </w:pPr>
            <w:r>
              <w:rPr>
                <w:rFonts w:ascii="Arial" w:cs="Arial" w:eastAsia="Arial" w:hAnsi="Arial"/>
                <w:sz w:val="19"/>
                <w:szCs w:val="19"/>
              </w:rPr>
              <w:t xml:space="preserve">Pelatihan dan awareness karyawan (Klausul 7.2-7.3)</w:t>
            </w:r>
          </w:p>
          <w:p>
            <w:pPr>
              <w:spacing w:before="30" w:after="30"/>
            </w:pPr>
            <w:r>
              <w:rPr>
                <w:rFonts w:ascii="Arial" w:cs="Arial" w:eastAsia="Arial" w:hAnsi="Arial"/>
                <w:sz w:val="19"/>
                <w:szCs w:val="19"/>
              </w:rPr>
              <w:t xml:space="preserve">Operasional manajemen risiko (Klausul 8.2-8.3)</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sz w:val="20"/>
                <w:szCs w:val="20"/>
              </w:rPr>
              <w:t xml:space="preserve">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Periksa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Monitoring &amp; pengukuran kinerja (Klausul 9.1)</w:t>
            </w:r>
          </w:p>
          <w:p>
            <w:pPr>
              <w:spacing w:before="30" w:after="30"/>
            </w:pPr>
            <w:r>
              <w:rPr>
                <w:rFonts w:ascii="Arial" w:cs="Arial" w:eastAsia="Arial" w:hAnsi="Arial"/>
                <w:sz w:val="19"/>
                <w:szCs w:val="19"/>
              </w:rPr>
              <w:t xml:space="preserve">Audit internal SMKI (Klausul 9.2)</w:t>
            </w:r>
          </w:p>
          <w:p>
            <w:pPr>
              <w:spacing w:before="30" w:after="30"/>
            </w:pPr>
            <w:r>
              <w:rPr>
                <w:rFonts w:ascii="Arial" w:cs="Arial" w:eastAsia="Arial" w:hAnsi="Arial"/>
                <w:sz w:val="19"/>
                <w:szCs w:val="19"/>
              </w:rPr>
              <w:t xml:space="preserve">Management Review (Klausul 9.3)</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sz w:val="20"/>
                <w:szCs w:val="20"/>
              </w:rPr>
              <w:t xml:space="preserve">ACT</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Tingkatkan</w:t>
            </w:r>
          </w:p>
        </w:tc>
        <w:tc>
          <w:tcPr>
            <w:tcW w:type="dxa" w:w="6026"/>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before="30" w:after="30"/>
            </w:pPr>
            <w:r>
              <w:rPr>
                <w:rFonts w:ascii="Arial" w:cs="Arial" w:eastAsia="Arial" w:hAnsi="Arial"/>
                <w:sz w:val="19"/>
                <w:szCs w:val="19"/>
              </w:rPr>
              <w:t xml:space="preserve">Tindakan korektif &amp; perbaikan (Klausul 10.2)</w:t>
            </w:r>
          </w:p>
          <w:p>
            <w:pPr>
              <w:spacing w:before="30" w:after="30"/>
            </w:pPr>
            <w:r>
              <w:rPr>
                <w:rFonts w:ascii="Arial" w:cs="Arial" w:eastAsia="Arial" w:hAnsi="Arial"/>
                <w:sz w:val="19"/>
                <w:szCs w:val="19"/>
              </w:rPr>
              <w:t xml:space="preserve">Peningkatan berkelanjutan SMKI (Klausul 10.1)</w:t>
            </w:r>
          </w:p>
          <w:p>
            <w:pPr>
              <w:spacing w:before="30" w:after="30"/>
            </w:pPr>
            <w:r>
              <w:rPr>
                <w:rFonts w:ascii="Arial" w:cs="Arial" w:eastAsia="Arial" w:hAnsi="Arial"/>
                <w:sz w:val="19"/>
                <w:szCs w:val="19"/>
              </w:rPr>
              <w:t xml:space="preserve">Update risk register &amp; SoA berdasarkan hasil review</w:t>
            </w:r>
          </w:p>
        </w:tc>
      </w:tr>
    </w:tbl>
    <w:p>
      <w:pPr>
        <w:spacing w:before="160" w:after="0"/>
      </w:pPr>
      <w:r>
        <w:t xml:space="preserve"/>
      </w:r>
    </w:p>
    <w:p>
      <w:pPr>
        <w:pStyle w:val="Heading1"/>
        <w:spacing w:before="480" w:after="160"/>
      </w:pPr>
      <w:r>
        <w:rPr>
          <w:rFonts w:ascii="Arial" w:cs="Arial" w:eastAsia="Arial" w:hAnsi="Arial"/>
          <w:b/>
          <w:bCs/>
          <w:color w:val="1F3864"/>
          <w:sz w:val="34"/>
          <w:szCs w:val="34"/>
        </w:rPr>
        <w:t xml:space="preserve">7. Tinjauan dan Pembaruan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Aspek</w:t>
            </w:r>
          </w:p>
        </w:tc>
        <w:tc>
          <w:tcPr>
            <w:tcW w:type="dxa" w:w="7226"/>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20"/>
                <w:szCs w:val="20"/>
              </w:rPr>
              <w:t xml:space="preserve">Frekuensi Review</w:t>
            </w:r>
          </w:p>
        </w:tc>
        <w:tc>
          <w:tcPr>
            <w:tcW w:type="dxa" w:w="7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Minimal satu kali per tahun atau bila terdapat perubahan signifikan pada konteks organisasi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Pemicu Review</w:t>
            </w:r>
          </w:p>
        </w:tc>
        <w:tc>
          <w:tcPr>
            <w:tcW w:type="dxa" w:w="7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Perubahan regulasi, insiden keamanan signifikan, perubahan struktur organisasi, merger/akuisisi, bencana alam, atau perubahan iklim yang signifikan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20"/>
                <w:szCs w:val="20"/>
              </w:rPr>
              <w:t xml:space="preserve">Proses Persetujuan</w:t>
            </w:r>
          </w:p>
        </w:tc>
        <w:tc>
          <w:tcPr>
            <w:tcW w:type="dxa" w:w="7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CTISO → Compliance Director → President Director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Distribusi</w:t>
            </w:r>
          </w:p>
        </w:tc>
        <w:tc>
          <w:tcPr>
            <w:tcW w:type="dxa" w:w="7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Seluruh Kepala Departemen, Internal Audit, Risk Management, Legal &amp; Compliance</w:t>
            </w:r>
          </w:p>
        </w:tc>
      </w:tr>
    </w:tbl>
    <w:p>
      <w:pPr>
        <w:spacing w:before="160" w:after="0"/>
      </w:pPr>
      <w:r>
        <w:t xml:space="preserve"/>
      </w:r>
    </w:p>
    <w:p>
      <w:pPr>
        <w:pStyle w:val="Heading1"/>
        <w:spacing w:before="480" w:after="160"/>
      </w:pPr>
      <w:r>
        <w:rPr>
          <w:rFonts w:ascii="Arial" w:cs="Arial" w:eastAsia="Arial" w:hAnsi="Arial"/>
          <w:b/>
          <w:bCs/>
          <w:color w:val="1F3864"/>
          <w:sz w:val="34"/>
          <w:szCs w:val="34"/>
        </w:rPr>
        <w:t xml:space="preserve">8. Persetujuan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Dibuat Oleh</w:t>
            </w:r>
          </w:p>
        </w:tc>
        <w:tc>
          <w:tcPr>
            <w:tcW w:type="dxa" w:w="3009"/>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Diperiksa Oleh</w:t>
            </w:r>
          </w:p>
        </w:tc>
        <w:tc>
          <w:tcPr>
            <w:tcW w:type="dxa" w:w="3009"/>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Disetujui Oleh</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700" w:after="40"/>
            </w:pPr>
            <w:r>
              <w:rPr>
                <w:rFonts w:ascii="Arial" w:cs="Arial" w:eastAsia="Arial" w:hAnsi="Arial"/>
                <w:sz w:val="20"/>
                <w:szCs w:val="20"/>
              </w:rPr>
              <w:t xml:space="preserve">________________________</w:t>
            </w:r>
          </w:p>
          <w:p>
            <w:r>
              <w:rPr>
                <w:rFonts w:ascii="Arial" w:cs="Arial" w:eastAsia="Arial" w:hAnsi="Arial"/>
                <w:sz w:val="20"/>
                <w:szCs w:val="20"/>
              </w:rPr>
              <w:t xml:space="preserve">Nama: ..........................</w:t>
            </w:r>
          </w:p>
          <w:p>
            <w:r>
              <w:rPr>
                <w:rFonts w:ascii="Arial" w:cs="Arial" w:eastAsia="Arial" w:hAnsi="Arial"/>
                <w:sz w:val="20"/>
                <w:szCs w:val="20"/>
              </w:rPr>
              <w:t xml:space="preserve">Jabatan: CTISO</w:t>
            </w:r>
          </w:p>
          <w:p>
            <w:r>
              <w:rPr>
                <w:rFonts w:ascii="Arial" w:cs="Arial" w:eastAsia="Arial" w:hAnsi="Arial"/>
                <w:sz w:val="20"/>
                <w:szCs w:val="20"/>
              </w:rPr>
              <w:t xml:space="preserve">Tanggal: _______________</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700" w:after="40"/>
            </w:pPr>
            <w:r>
              <w:rPr>
                <w:rFonts w:ascii="Arial" w:cs="Arial" w:eastAsia="Arial" w:hAnsi="Arial"/>
                <w:sz w:val="20"/>
                <w:szCs w:val="20"/>
              </w:rPr>
              <w:t xml:space="preserve">________________________</w:t>
            </w:r>
          </w:p>
          <w:p>
            <w:r>
              <w:rPr>
                <w:rFonts w:ascii="Arial" w:cs="Arial" w:eastAsia="Arial" w:hAnsi="Arial"/>
                <w:sz w:val="20"/>
                <w:szCs w:val="20"/>
              </w:rPr>
              <w:t xml:space="preserve">Nama: ..........................</w:t>
            </w:r>
          </w:p>
          <w:p>
            <w:r>
              <w:rPr>
                <w:rFonts w:ascii="Arial" w:cs="Arial" w:eastAsia="Arial" w:hAnsi="Arial"/>
                <w:sz w:val="20"/>
                <w:szCs w:val="20"/>
              </w:rPr>
              <w:t xml:space="preserve">Jabatan: Compliance Director</w:t>
            </w:r>
          </w:p>
          <w:p>
            <w:r>
              <w:rPr>
                <w:rFonts w:ascii="Arial" w:cs="Arial" w:eastAsia="Arial" w:hAnsi="Arial"/>
                <w:sz w:val="20"/>
                <w:szCs w:val="20"/>
              </w:rPr>
              <w:t xml:space="preserve">Tanggal: _______________</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700" w:after="40"/>
            </w:pPr>
            <w:r>
              <w:rPr>
                <w:rFonts w:ascii="Arial" w:cs="Arial" w:eastAsia="Arial" w:hAnsi="Arial"/>
                <w:sz w:val="20"/>
                <w:szCs w:val="20"/>
              </w:rPr>
              <w:t xml:space="preserve">________________________</w:t>
            </w:r>
          </w:p>
          <w:p>
            <w:r>
              <w:rPr>
                <w:rFonts w:ascii="Arial" w:cs="Arial" w:eastAsia="Arial" w:hAnsi="Arial"/>
                <w:sz w:val="20"/>
                <w:szCs w:val="20"/>
              </w:rPr>
              <w:t xml:space="preserve">Nama: ..........................</w:t>
            </w:r>
          </w:p>
          <w:p>
            <w:r>
              <w:rPr>
                <w:rFonts w:ascii="Arial" w:cs="Arial" w:eastAsia="Arial" w:hAnsi="Arial"/>
                <w:sz w:val="20"/>
                <w:szCs w:val="20"/>
              </w:rPr>
              <w:t xml:space="preserve">Jabatan: President Director</w:t>
            </w:r>
          </w:p>
          <w:p>
            <w:r>
              <w:rPr>
                <w:rFonts w:ascii="Arial" w:cs="Arial" w:eastAsia="Arial" w:hAnsi="Arial"/>
                <w:sz w:val="20"/>
                <w:szCs w:val="20"/>
              </w:rPr>
              <w:t xml:space="preserve">Tanggal: _______________</w:t>
            </w:r>
          </w:p>
        </w:tc>
      </w:tr>
    </w:tbl>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8" w:space="1"/>
      </w:pBdr>
      <w:tabs>
        <w:tab w:val="right" w:pos="8506"/>
      </w:tabs>
      <w:spacing w:before="120"/>
    </w:pPr>
    <w:r>
      <w:rPr>
        <w:rFonts w:ascii="Arial" w:cs="Arial" w:eastAsia="Arial" w:hAnsi="Arial"/>
        <w:color w:val="595959"/>
        <w:sz w:val="16"/>
        <w:szCs w:val="16"/>
      </w:rPr>
      <w:t xml:space="preserve">PT Asuransi [Nama Perusahaan]  |  Klasifikasi: Rahasia  |  © 2025</w:t>
    </w:r>
    <w:r>
      <w:rPr>
        <w:rFonts w:ascii="Arial" w:cs="Arial" w:eastAsia="Arial" w:hAnsi="Arial"/>
        <w:color w:val="595959"/>
        <w:sz w:val="16"/>
        <w:szCs w:val="16"/>
      </w:rPr>
      <w:t xml:space="preserve">	Halaman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dari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8" w:space="1"/>
      </w:pBdr>
      <w:tabs>
        <w:tab w:val="right" w:pos="8506"/>
      </w:tabs>
      <w:spacing w:after="120"/>
    </w:pPr>
    <w:r>
      <w:rPr>
        <w:rFonts w:ascii="Arial" w:cs="Arial" w:eastAsia="Arial" w:hAnsi="Arial"/>
        <w:b/>
        <w:bCs/>
        <w:color w:val="1F3864"/>
        <w:sz w:val="18"/>
        <w:szCs w:val="18"/>
      </w:rPr>
      <w:t xml:space="preserve">KONTEKS ORGANISASI &amp; ANALISIS ISU SMKI</w:t>
    </w:r>
    <w:r>
      <w:rPr>
        <w:sz w:val="18"/>
        <w:szCs w:val="18"/>
      </w:rPr>
      <w:t xml:space="preserve">	</w:t>
    </w:r>
    <w:r>
      <w:rPr>
        <w:rFonts w:ascii="Arial" w:cs="Arial" w:eastAsia="Arial" w:hAnsi="Arial"/>
        <w:color w:val="595959"/>
        <w:sz w:val="16"/>
        <w:szCs w:val="16"/>
      </w:rPr>
      <w:t xml:space="preserve">SMKI-KO-001 | ISO 27001:2022 Klausul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2026-03-05T14:24:10.284Z</dcterms:created>
  <dcterms:modified xsi:type="dcterms:W3CDTF">2026-03-05T14:24:10.284Z</dcterms:modified>
</cp:coreProperties>
</file>

<file path=docProps/custom.xml><?xml version="1.0" encoding="utf-8"?>
<Properties xmlns="http://schemas.openxmlformats.org/officeDocument/2006/custom-properties" xmlns:vt="http://schemas.openxmlformats.org/officeDocument/2006/docPropsVTypes"/>
</file>