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
        <w:jc w:val="center"/>
      </w:pPr>
      <w:r>
        <w:rPr>
          <w:rFonts w:ascii="Arial" w:cs="Arial" w:eastAsia="Arial" w:hAnsi="Arial"/>
          <w:b/>
          <w:bCs/>
          <w:color w:val="1F3864"/>
          <w:sz w:val="64"/>
          <w:szCs w:val="64"/>
        </w:rPr>
        <w:t xml:space="preserve">KEBIJAKAN</w:t>
      </w:r>
    </w:p>
    <w:p>
      <w:pPr>
        <w:spacing w:before="0" w:after="160"/>
        <w:jc w:val="center"/>
      </w:pPr>
      <w:r>
        <w:rPr>
          <w:rFonts w:ascii="Arial" w:cs="Arial" w:eastAsia="Arial" w:hAnsi="Arial"/>
          <w:b/>
          <w:bCs/>
          <w:color w:val="2E75B6"/>
          <w:sz w:val="40"/>
          <w:szCs w:val="40"/>
        </w:rPr>
        <w:t xml:space="preserve">SISTEM MANAJEMEN KEAMANAN INFORMASI</w:t>
      </w:r>
    </w:p>
    <w:p>
      <w:pPr>
        <w:spacing w:before="0" w:after="80"/>
        <w:jc w:val="center"/>
      </w:pPr>
      <w:r>
        <w:rPr>
          <w:rFonts w:ascii="Arial" w:cs="Arial" w:eastAsia="Arial" w:hAnsi="Arial"/>
          <w:i/>
          <w:iCs/>
          <w:color w:val="595959"/>
          <w:sz w:val="30"/>
          <w:szCs w:val="30"/>
        </w:rPr>
        <w:t xml:space="preserve">(SMKI Policy)</w:t>
      </w:r>
    </w:p>
    <w:p>
      <w:pPr>
        <w:spacing w:before="0" w:after="800"/>
        <w:jc w:val="center"/>
      </w:pPr>
      <w:r>
        <w:rPr>
          <w:rFonts w:ascii="Arial" w:cs="Arial" w:eastAsia="Arial" w:hAnsi="Arial"/>
          <w:color w:val="1A5276"/>
          <w:sz w:val="26"/>
          <w:szCs w:val="26"/>
        </w:rPr>
        <w:t xml:space="preserve">PT Asuransi [Nama Perusahaan]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Nomor Dokumen</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SMKI-POL-001</w:t>
            </w:r>
          </w:p>
        </w:tc>
      </w:tr>
      <w:tr>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Referensi ISO</w:t>
            </w:r>
          </w:p>
        </w:tc>
        <w:tc>
          <w:tcPr>
            <w:tcW w:type="dxa" w:w="5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ISO/IEC 27001:2022 Klausul 5.2 &amp; 5.3</w:t>
            </w:r>
          </w:p>
        </w:tc>
      </w:tr>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Versi / Tanggal</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1.0 / [Tanggal Berlaku]</w:t>
            </w:r>
          </w:p>
        </w:tc>
      </w:tr>
      <w:tr>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Pemilik Kebijakan</w:t>
            </w:r>
          </w:p>
        </w:tc>
        <w:tc>
          <w:tcPr>
            <w:tcW w:type="dxa" w:w="5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CTISO — Chief Technology &amp; Information Security Officer</w:t>
            </w:r>
          </w:p>
        </w:tc>
      </w:tr>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Berlaku untuk</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Seluruh Direksi, Karyawan, Agen, Vendor &amp; Mitra</w:t>
            </w:r>
          </w:p>
        </w:tc>
      </w:tr>
      <w:tr>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Klasifikasi</w:t>
            </w:r>
          </w:p>
        </w:tc>
        <w:tc>
          <w:tcPr>
            <w:tcW w:type="dxa" w:w="5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Internal (dapat dibagikan ke semua karyawan)</w:t>
            </w:r>
          </w:p>
        </w:tc>
      </w:tr>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Disetujui Oleh</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President Director</w:t>
            </w:r>
          </w:p>
        </w:tc>
      </w:tr>
    </w:tbl>
    <w:p>
      <w:r>
        <w:br w:type="page"/>
      </w:r>
    </w:p>
    <w:p>
      <w:pPr>
        <w:pStyle w:val="Heading1"/>
        <w:spacing w:before="480" w:after="160"/>
      </w:pPr>
      <w:r>
        <w:rPr>
          <w:rFonts w:ascii="Arial" w:cs="Arial" w:eastAsia="Arial" w:hAnsi="Arial"/>
          <w:b/>
          <w:bCs/>
          <w:color w:val="1F3864"/>
          <w:sz w:val="34"/>
          <w:szCs w:val="34"/>
        </w:rPr>
        <w:t xml:space="preserve">1. Pernyataan Kebijakan</w:t>
      </w:r>
    </w:p>
    <w:p>
      <w:pPr>
        <w:spacing w:before="80" w:after="80"/>
      </w:pPr>
      <w:r>
        <w:rPr>
          <w:rFonts w:ascii="Arial" w:cs="Arial" w:eastAsia="Arial" w:hAnsi="Arial"/>
          <w:sz w:val="22"/>
          <w:szCs w:val="22"/>
        </w:rPr>
        <w:t xml:space="preserve">PT Asuransi [Nama Perusahaan] berkomitmen penuh untuk melindungi kerahasiaan (confidentiality), integritas (integrity), dan ketersediaan (availability) seluruh aset informasi yang dimiliki, dikelola, dan dipercayakan kepada Perusahaan — termasuk data pemegang polis, informasi keuangan, data karyawan, dan informasi bisnis strategis.</w:t>
      </w:r>
    </w:p>
    <w:p>
      <w:pPr>
        <w:spacing w:before="80" w:after="0"/>
      </w:pPr>
      <w:r>
        <w:t xml:space="preserve"/>
      </w:r>
    </w:p>
    <w:p>
      <w:pPr>
        <w:spacing w:before="80" w:after="80"/>
      </w:pPr>
      <w:r>
        <w:rPr>
          <w:rFonts w:ascii="Arial" w:cs="Arial" w:eastAsia="Arial" w:hAnsi="Arial"/>
          <w:sz w:val="22"/>
          <w:szCs w:val="22"/>
        </w:rPr>
        <w:t xml:space="preserve">Sebagai perusahaan asuransi jiwa yang beroperasi di lingkungan digital yang dinamis, keamanan informasi adalah fondasi kepercayaan nasabah, kepatuhan regulasi, dan keberlangsungan bisnis. Perusahaan menerapkan Sistem Manajemen Keamanan Informasi (SMKI) sesuai standar internasional ISO/IEC 27001:2022 sebagai kerangka kerja yang sistematis dan berkelanjutan.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80"/>
              <w:left w:type="dxa" w:w="280"/>
              <w:bottom w:type="dxa" w:w="180"/>
              <w:right w:type="dxa" w:w="280"/>
            </w:tcMar>
          </w:tcPr>
          <w:p>
            <w:pPr>
              <w:spacing w:before="60" w:after="80"/>
            </w:pPr>
            <w:r>
              <w:rPr>
                <w:rFonts w:ascii="Arial" w:cs="Arial" w:eastAsia="Arial" w:hAnsi="Arial"/>
                <w:b/>
                <w:bCs/>
                <w:color w:val="1F3864"/>
                <w:sz w:val="24"/>
                <w:szCs w:val="24"/>
              </w:rPr>
              <w:t xml:space="preserve">Komitmen Manajemen Puncak:</w:t>
            </w:r>
          </w:p>
          <w:p>
            <w:pPr>
              <w:spacing w:before="40" w:after="40"/>
            </w:pPr>
            <w:r>
              <w:rPr>
                <w:rFonts w:ascii="Arial" w:cs="Arial" w:eastAsia="Arial" w:hAnsi="Arial"/>
                <w:i/>
                <w:iCs/>
                <w:color w:val="1F3864"/>
                <w:sz w:val="22"/>
                <w:szCs w:val="22"/>
              </w:rPr>
              <w:t xml:space="preserve">"Kami berkomitmen untuk melindungi seluruh aset informasi Perusahaan, menjaga kepercayaan nasabah, dan memenuhi seluruh kewajiban regulasi terkait keamanan informasi. Keamanan informasi adalah tanggung jawab bersama seluruh insan Perusahaan."</w:t>
            </w:r>
          </w:p>
          <w:p>
            <w:pPr>
              <w:spacing w:before="60" w:after="40"/>
            </w:pPr>
            <w:r>
              <w:rPr>
                <w:rFonts w:ascii="Arial" w:cs="Arial" w:eastAsia="Arial" w:hAnsi="Arial"/>
                <w:b/>
                <w:bCs/>
                <w:color w:val="2E75B6"/>
                <w:sz w:val="20"/>
                <w:szCs w:val="20"/>
              </w:rPr>
              <w:t xml:space="preserve">— President Director, PT Asuransi [Nama Perusahaan]</w:t>
            </w:r>
          </w:p>
        </w:tc>
      </w:tr>
    </w:tbl>
    <w:p>
      <w:pPr>
        <w:spacing w:before="160" w:after="0"/>
      </w:pPr>
      <w:r>
        <w:t xml:space="preserve"/>
      </w:r>
    </w:p>
    <w:p>
      <w:pPr>
        <w:pStyle w:val="Heading1"/>
        <w:spacing w:before="480" w:after="160"/>
      </w:pPr>
      <w:r>
        <w:rPr>
          <w:rFonts w:ascii="Arial" w:cs="Arial" w:eastAsia="Arial" w:hAnsi="Arial"/>
          <w:b/>
          <w:bCs/>
          <w:color w:val="1F3864"/>
          <w:sz w:val="34"/>
          <w:szCs w:val="34"/>
        </w:rPr>
        <w:t xml:space="preserve">2. Tujuan</w:t>
      </w:r>
    </w:p>
    <w:p>
      <w:pPr>
        <w:pStyle w:val="ListParagraph"/>
        <w:numPr>
          <w:ilvl w:val="0"/>
          <w:numId w:val="2"/>
        </w:numPr>
        <w:spacing w:before="60" w:after="60"/>
      </w:pPr>
      <w:r>
        <w:rPr>
          <w:rFonts w:ascii="Arial" w:cs="Arial" w:eastAsia="Arial" w:hAnsi="Arial"/>
          <w:sz w:val="22"/>
          <w:szCs w:val="22"/>
        </w:rPr>
        <w:t xml:space="preserve">Melindungi aset informasi dari ancaman internal, eksternal, disengaja maupun tidak disengaja</w:t>
      </w:r>
    </w:p>
    <w:p>
      <w:pPr>
        <w:pStyle w:val="ListParagraph"/>
        <w:numPr>
          <w:ilvl w:val="0"/>
          <w:numId w:val="2"/>
        </w:numPr>
        <w:spacing w:before="60" w:after="60"/>
      </w:pPr>
      <w:r>
        <w:rPr>
          <w:rFonts w:ascii="Arial" w:cs="Arial" w:eastAsia="Arial" w:hAnsi="Arial"/>
          <w:sz w:val="22"/>
          <w:szCs w:val="22"/>
        </w:rPr>
        <w:t xml:space="preserve">Memastikan kepatuhan terhadap UU PDP No.27/2022, POJK, BSSN, dan regulasi keamanan informasi yang berlaku</w:t>
      </w:r>
    </w:p>
    <w:p>
      <w:pPr>
        <w:pStyle w:val="ListParagraph"/>
        <w:numPr>
          <w:ilvl w:val="0"/>
          <w:numId w:val="2"/>
        </w:numPr>
        <w:spacing w:before="60" w:after="60"/>
      </w:pPr>
      <w:r>
        <w:rPr>
          <w:rFonts w:ascii="Arial" w:cs="Arial" w:eastAsia="Arial" w:hAnsi="Arial"/>
          <w:sz w:val="22"/>
          <w:szCs w:val="22"/>
        </w:rPr>
        <w:t xml:space="preserve">Mengelola risiko keamanan informasi secara proaktif dan sistematis</w:t>
      </w:r>
    </w:p>
    <w:p>
      <w:pPr>
        <w:pStyle w:val="ListParagraph"/>
        <w:numPr>
          <w:ilvl w:val="0"/>
          <w:numId w:val="2"/>
        </w:numPr>
        <w:spacing w:before="60" w:after="60"/>
      </w:pPr>
      <w:r>
        <w:rPr>
          <w:rFonts w:ascii="Arial" w:cs="Arial" w:eastAsia="Arial" w:hAnsi="Arial"/>
          <w:sz w:val="22"/>
          <w:szCs w:val="22"/>
        </w:rPr>
        <w:t xml:space="preserve">Membangun budaya sadar keamanan informasi di seluruh lapisan organisasi</w:t>
      </w:r>
    </w:p>
    <w:p>
      <w:pPr>
        <w:pStyle w:val="ListParagraph"/>
        <w:numPr>
          <w:ilvl w:val="0"/>
          <w:numId w:val="2"/>
        </w:numPr>
        <w:spacing w:before="60" w:after="60"/>
      </w:pPr>
      <w:r>
        <w:rPr>
          <w:rFonts w:ascii="Arial" w:cs="Arial" w:eastAsia="Arial" w:hAnsi="Arial"/>
          <w:sz w:val="22"/>
          <w:szCs w:val="22"/>
        </w:rPr>
        <w:t xml:space="preserve">Menjamin kelangsungan layanan kepada pemegang polis meskipun terjadi gangguan atau bencana</w:t>
      </w:r>
    </w:p>
    <w:p>
      <w:pPr>
        <w:pStyle w:val="ListParagraph"/>
        <w:numPr>
          <w:ilvl w:val="0"/>
          <w:numId w:val="2"/>
        </w:numPr>
        <w:spacing w:before="60" w:after="60"/>
      </w:pPr>
      <w:r>
        <w:rPr>
          <w:rFonts w:ascii="Arial" w:cs="Arial" w:eastAsia="Arial" w:hAnsi="Arial"/>
          <w:sz w:val="22"/>
          <w:szCs w:val="22"/>
        </w:rPr>
        <w:t xml:space="preserve">Mendukung kepercayaan nasabah, mitra bank, dan regulator terhadap Perusahaan</w:t>
      </w:r>
    </w:p>
    <w:p>
      <w:pPr>
        <w:spacing w:before="160" w:after="0"/>
      </w:pPr>
      <w:r>
        <w:t xml:space="preserve"/>
      </w:r>
    </w:p>
    <w:p>
      <w:pPr>
        <w:pStyle w:val="Heading1"/>
        <w:spacing w:before="480" w:after="160"/>
      </w:pPr>
      <w:r>
        <w:rPr>
          <w:rFonts w:ascii="Arial" w:cs="Arial" w:eastAsia="Arial" w:hAnsi="Arial"/>
          <w:b/>
          <w:bCs/>
          <w:color w:val="1F3864"/>
          <w:sz w:val="34"/>
          <w:szCs w:val="34"/>
        </w:rPr>
        <w:t xml:space="preserve">3. Ruang Lingkup</w:t>
      </w:r>
    </w:p>
    <w:p>
      <w:pPr>
        <w:spacing w:before="80" w:after="80"/>
      </w:pPr>
      <w:r>
        <w:rPr>
          <w:rFonts w:ascii="Arial" w:cs="Arial" w:eastAsia="Arial" w:hAnsi="Arial"/>
          <w:sz w:val="22"/>
          <w:szCs w:val="22"/>
        </w:rPr>
        <w:t xml:space="preserve">Kebijakan ini berlaku untuk:</w:t>
      </w:r>
    </w:p>
    <w:p>
      <w:pPr>
        <w:pStyle w:val="ListParagraph"/>
        <w:numPr>
          <w:ilvl w:val="0"/>
          <w:numId w:val="2"/>
        </w:numPr>
        <w:spacing w:before="60" w:after="60"/>
      </w:pPr>
      <w:r>
        <w:rPr>
          <w:rFonts w:ascii="Arial" w:cs="Arial" w:eastAsia="Arial" w:hAnsi="Arial"/>
          <w:sz w:val="22"/>
          <w:szCs w:val="22"/>
        </w:rPr>
        <w:t xml:space="preserve">Seluruh karyawan tetap, kontrak, outsourcing, dan magang PT Asuransi [Nama Perusahaan]</w:t>
      </w:r>
    </w:p>
    <w:p>
      <w:pPr>
        <w:pStyle w:val="ListParagraph"/>
        <w:numPr>
          <w:ilvl w:val="0"/>
          <w:numId w:val="2"/>
        </w:numPr>
        <w:spacing w:before="60" w:after="60"/>
      </w:pPr>
      <w:r>
        <w:rPr>
          <w:rFonts w:ascii="Arial" w:cs="Arial" w:eastAsia="Arial" w:hAnsi="Arial"/>
          <w:sz w:val="22"/>
          <w:szCs w:val="22"/>
        </w:rPr>
        <w:t xml:space="preserve">Seluruh jajaran Direksi dan Dewan Komisaris</w:t>
      </w:r>
    </w:p>
    <w:p>
      <w:pPr>
        <w:pStyle w:val="ListParagraph"/>
        <w:numPr>
          <w:ilvl w:val="0"/>
          <w:numId w:val="2"/>
        </w:numPr>
        <w:spacing w:before="60" w:after="60"/>
      </w:pPr>
      <w:r>
        <w:rPr>
          <w:rFonts w:ascii="Arial" w:cs="Arial" w:eastAsia="Arial" w:hAnsi="Arial"/>
          <w:sz w:val="22"/>
          <w:szCs w:val="22"/>
        </w:rPr>
        <w:t xml:space="preserve">Agen asuransi yang terdaftar dan memiliki akses ke sistem Perusahaan</w:t>
      </w:r>
    </w:p>
    <w:p>
      <w:pPr>
        <w:pStyle w:val="ListParagraph"/>
        <w:numPr>
          <w:ilvl w:val="0"/>
          <w:numId w:val="2"/>
        </w:numPr>
        <w:spacing w:before="60" w:after="60"/>
      </w:pPr>
      <w:r>
        <w:rPr>
          <w:rFonts w:ascii="Arial" w:cs="Arial" w:eastAsia="Arial" w:hAnsi="Arial"/>
          <w:sz w:val="22"/>
          <w:szCs w:val="22"/>
        </w:rPr>
        <w:t xml:space="preserve">Vendor, kontraktor, dan mitra yang mengakses atau memproses data/sistem Perusahaan</w:t>
      </w:r>
    </w:p>
    <w:p>
      <w:pPr>
        <w:pStyle w:val="ListParagraph"/>
        <w:numPr>
          <w:ilvl w:val="0"/>
          <w:numId w:val="2"/>
        </w:numPr>
        <w:spacing w:before="60" w:after="60"/>
      </w:pPr>
      <w:r>
        <w:rPr>
          <w:rFonts w:ascii="Arial" w:cs="Arial" w:eastAsia="Arial" w:hAnsi="Arial"/>
          <w:sz w:val="22"/>
          <w:szCs w:val="22"/>
        </w:rPr>
        <w:t xml:space="preserve">Semua aset informasi dalam format elektronik maupun fisik</w:t>
      </w:r>
    </w:p>
    <w:p>
      <w:pPr>
        <w:pStyle w:val="ListParagraph"/>
        <w:numPr>
          <w:ilvl w:val="0"/>
          <w:numId w:val="2"/>
        </w:numPr>
        <w:spacing w:before="60" w:after="60"/>
      </w:pPr>
      <w:r>
        <w:rPr>
          <w:rFonts w:ascii="Arial" w:cs="Arial" w:eastAsia="Arial" w:hAnsi="Arial"/>
          <w:sz w:val="22"/>
          <w:szCs w:val="22"/>
        </w:rPr>
        <w:t xml:space="preserve">Semua sistem, aplikasi, infrastruktur TI, dan layanan cloud yang dikelola Perusahaan</w:t>
      </w:r>
    </w:p>
    <w:p>
      <w:pPr>
        <w:pStyle w:val="ListParagraph"/>
        <w:numPr>
          <w:ilvl w:val="0"/>
          <w:numId w:val="2"/>
        </w:numPr>
        <w:spacing w:before="60" w:after="60"/>
      </w:pPr>
      <w:r>
        <w:rPr>
          <w:rFonts w:ascii="Arial" w:cs="Arial" w:eastAsia="Arial" w:hAnsi="Arial"/>
          <w:sz w:val="22"/>
          <w:szCs w:val="22"/>
        </w:rPr>
        <w:t xml:space="preserve">Seluruh lokasi operasional: Kantor Pusat, Kantor Regional, dan titik distribusi</w:t>
      </w:r>
    </w:p>
    <w:p>
      <w:pPr>
        <w:spacing w:before="160" w:after="0"/>
      </w:pPr>
      <w:r>
        <w:t xml:space="preserve"/>
      </w:r>
    </w:p>
    <w:p>
      <w:pPr>
        <w:pStyle w:val="Heading1"/>
        <w:spacing w:before="480" w:after="160"/>
      </w:pPr>
      <w:r>
        <w:rPr>
          <w:rFonts w:ascii="Arial" w:cs="Arial" w:eastAsia="Arial" w:hAnsi="Arial"/>
          <w:b/>
          <w:bCs/>
          <w:color w:val="1F3864"/>
          <w:sz w:val="34"/>
          <w:szCs w:val="34"/>
        </w:rPr>
        <w:t xml:space="preserve">4. Prinsip-Prinsip Keamanan Informasi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Prinsip</w:t>
            </w:r>
          </w:p>
        </w:tc>
        <w:tc>
          <w:tcPr>
            <w:tcW w:type="dxa" w:w="58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Penjelasan</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sz w:val="20"/>
                <w:szCs w:val="20"/>
              </w:rPr>
              <w:t xml:space="preserve">Kerahasiaan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Informasi hanya dapat diakses oleh pihak yang berwenang berdasarkan need-to-know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Integritas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Informasi akurat, lengkap, dan tidak dimodifikasi secara tidak sah</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sz w:val="20"/>
                <w:szCs w:val="20"/>
              </w:rPr>
              <w:t xml:space="preserve">Ketersediaan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Informasi dan sistem tersedia saat dibutuhkan oleh pengguna yang berwenang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Manajemen Risiko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Risiko keamanan informasi diidentifikasi, dianalisis, dan ditangani secara berkesinambungan</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sz w:val="20"/>
                <w:szCs w:val="20"/>
              </w:rPr>
              <w:t xml:space="preserve">Kepatuhan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SMKI memenuhi seluruh persyaratan hukum, regulasi, dan kontraktual yang berlaku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Least Privilege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Akses diberikan minimal sesuai kebutuhan peran; tidak lebih dari yang diperlukan</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center"/>
            </w:pPr>
            <w:r>
              <w:rPr>
                <w:rFonts w:ascii="Arial" w:cs="Arial" w:eastAsia="Arial" w:hAnsi="Arial"/>
                <w:b/>
                <w:bCs/>
                <w:sz w:val="20"/>
                <w:szCs w:val="20"/>
              </w:rPr>
              <w:t xml:space="preserve">7</w:t>
            </w:r>
          </w:p>
        </w:tc>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sz w:val="20"/>
                <w:szCs w:val="20"/>
              </w:rPr>
              <w:t xml:space="preserve">Perbaikan Berkelanjutan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SMKI terus dievaluasi dan ditingkatkan sesuai perkembangan ancaman dan bisnis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Akuntabilitas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Setiap pelanggaran keamanan informasi dapat ditelusuri ke pihak yang bertanggung jawab</w:t>
            </w:r>
          </w:p>
        </w:tc>
      </w:tr>
    </w:tbl>
    <w:p>
      <w:pPr>
        <w:spacing w:before="160" w:after="0"/>
      </w:pPr>
      <w:r>
        <w:t xml:space="preserve"/>
      </w:r>
    </w:p>
    <w:p>
      <w:r>
        <w:br w:type="page"/>
      </w:r>
    </w:p>
    <w:p>
      <w:pPr>
        <w:pStyle w:val="Heading1"/>
        <w:spacing w:before="480" w:after="160"/>
      </w:pPr>
      <w:r>
        <w:rPr>
          <w:rFonts w:ascii="Arial" w:cs="Arial" w:eastAsia="Arial" w:hAnsi="Arial"/>
          <w:b/>
          <w:bCs/>
          <w:color w:val="1F3864"/>
          <w:sz w:val="34"/>
          <w:szCs w:val="34"/>
        </w:rPr>
        <w:t xml:space="preserve">5. Tanggung Jawab Keamanan Informasi per Unit Organisasi</w:t>
      </w:r>
    </w:p>
    <w:p>
      <w:pPr>
        <w:spacing w:before="80" w:after="80"/>
      </w:pPr>
      <w:r>
        <w:rPr>
          <w:rFonts w:ascii="Arial" w:cs="Arial" w:eastAsia="Arial" w:hAnsi="Arial"/>
          <w:sz w:val="22"/>
          <w:szCs w:val="22"/>
        </w:rPr>
        <w:t xml:space="preserve">Keamanan informasi adalah tanggung jawab bersama. Berikut pembagian tanggung jawab sesuai struktur organisasi:</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Unit / Peran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Tanggung Jawab Keamanan Informasi</w:t>
            </w:r>
          </w:p>
        </w:tc>
        <w:tc>
          <w:tcPr>
            <w:tcW w:type="dxa" w:w="38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Aset Informasi yang Dilindungi</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President Director / Direksi</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Menyetujui kebijakan SMKI; menyediakan sumber daya; kepemimpinan dalam budaya keamanan</w:t>
            </w:r>
          </w:p>
        </w:tc>
        <w:tc>
          <w:tcPr>
            <w:tcW w:type="dxa" w:w="3826"/>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Seluruh aset informasi strategis Perusahaan</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pPr>
              <w:jc w:val="left"/>
            </w:pPr>
            <w:r>
              <w:rPr>
                <w:rFonts w:ascii="Arial" w:cs="Arial" w:eastAsia="Arial" w:hAnsi="Arial"/>
                <w:b/>
                <w:bCs/>
                <w:sz w:val="20"/>
                <w:szCs w:val="20"/>
              </w:rPr>
              <w:t xml:space="preserve">CTISO (Chief Technology &amp; Information Security 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Pemilik SMKI, bertanggung jawab implementasi</w:t>
            </w:r>
          </w:p>
          <w:p>
            <w:pPr>
              <w:spacing w:before="30" w:after="30"/>
            </w:pPr>
            <w:r>
              <w:rPr>
                <w:rFonts w:ascii="Arial" w:cs="Arial" w:eastAsia="Arial" w:hAnsi="Arial"/>
                <w:sz w:val="19"/>
                <w:szCs w:val="19"/>
              </w:rPr>
              <w:t xml:space="preserve">Menetapkan arsitektur keamanan &amp; kontrol teknis</w:t>
            </w:r>
          </w:p>
          <w:p>
            <w:pPr>
              <w:spacing w:before="30" w:after="30"/>
            </w:pPr>
            <w:r>
              <w:rPr>
                <w:rFonts w:ascii="Arial" w:cs="Arial" w:eastAsia="Arial" w:hAnsi="Arial"/>
                <w:sz w:val="19"/>
                <w:szCs w:val="19"/>
              </w:rPr>
              <w:t xml:space="preserve">Memimpin respons insiden keamanan siber</w:t>
            </w:r>
          </w:p>
          <w:p>
            <w:pPr>
              <w:spacing w:before="30" w:after="30"/>
            </w:pPr>
            <w:r>
              <w:rPr>
                <w:rFonts w:ascii="Arial" w:cs="Arial" w:eastAsia="Arial" w:hAnsi="Arial"/>
                <w:sz w:val="19"/>
                <w:szCs w:val="19"/>
              </w:rPr>
              <w:t xml:space="preserve">Laporan kinerja SMKI ke Direksi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Seluruh sistem TI, infrastruktur</w:t>
            </w:r>
          </w:p>
          <w:p>
            <w:pPr>
              <w:spacing w:before="30" w:after="30"/>
            </w:pPr>
            <w:r>
              <w:rPr>
                <w:rFonts w:ascii="Arial" w:cs="Arial" w:eastAsia="Arial" w:hAnsi="Arial"/>
                <w:sz w:val="19"/>
                <w:szCs w:val="19"/>
              </w:rPr>
              <w:t xml:space="preserve">Source code &amp; konfigurasi</w:t>
            </w:r>
          </w:p>
          <w:p>
            <w:pPr>
              <w:spacing w:before="30" w:after="30"/>
            </w:pPr>
            <w:r>
              <w:rPr>
                <w:rFonts w:ascii="Arial" w:cs="Arial" w:eastAsia="Arial" w:hAnsi="Arial"/>
                <w:sz w:val="19"/>
                <w:szCs w:val="19"/>
              </w:rPr>
              <w:t xml:space="preserve">Data center &amp; cloud environment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Digital Solution Development (Dev &amp; SecOps)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Implementasi SDLC aman (secure coding, SAST/DAST)</w:t>
            </w:r>
          </w:p>
          <w:p>
            <w:pPr>
              <w:spacing w:before="30" w:after="30"/>
            </w:pPr>
            <w:r>
              <w:rPr>
                <w:rFonts w:ascii="Arial" w:cs="Arial" w:eastAsia="Arial" w:hAnsi="Arial"/>
                <w:sz w:val="19"/>
                <w:szCs w:val="19"/>
              </w:rPr>
              <w:t xml:space="preserve">Keamanan aplikasi front-end &amp; back-end</w:t>
            </w:r>
          </w:p>
          <w:p>
            <w:pPr>
              <w:spacing w:before="30" w:after="30"/>
            </w:pPr>
            <w:r>
              <w:rPr>
                <w:rFonts w:ascii="Arial" w:cs="Arial" w:eastAsia="Arial" w:hAnsi="Arial"/>
                <w:sz w:val="19"/>
                <w:szCs w:val="19"/>
              </w:rPr>
              <w:t xml:space="preserve">Security testing sebelum deployment</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Source code aplikasi</w:t>
            </w:r>
          </w:p>
          <w:p>
            <w:pPr>
              <w:spacing w:before="30" w:after="30"/>
            </w:pPr>
            <w:r>
              <w:rPr>
                <w:rFonts w:ascii="Arial" w:cs="Arial" w:eastAsia="Arial" w:hAnsi="Arial"/>
                <w:sz w:val="19"/>
                <w:szCs w:val="19"/>
              </w:rPr>
              <w:t xml:space="preserve">API dan integrasi sistem</w:t>
            </w:r>
          </w:p>
          <w:p>
            <w:pPr>
              <w:spacing w:before="30" w:after="30"/>
            </w:pPr>
            <w:r>
              <w:rPr>
                <w:rFonts w:ascii="Arial" w:cs="Arial" w:eastAsia="Arial" w:hAnsi="Arial"/>
                <w:sz w:val="19"/>
                <w:szCs w:val="19"/>
              </w:rPr>
              <w:t xml:space="preserve">Data nasabah dalam aplikasi digital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IT Operation (Core System, Infrastruktur, IT Governance)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Manajemen akses &amp; identitas (IAM)</w:t>
            </w:r>
          </w:p>
          <w:p>
            <w:pPr>
              <w:spacing w:before="30" w:after="30"/>
            </w:pPr>
            <w:r>
              <w:rPr>
                <w:rFonts w:ascii="Arial" w:cs="Arial" w:eastAsia="Arial" w:hAnsi="Arial"/>
                <w:sz w:val="19"/>
                <w:szCs w:val="19"/>
              </w:rPr>
              <w:t xml:space="preserve">Backup &amp; recovery data</w:t>
            </w:r>
          </w:p>
          <w:p>
            <w:pPr>
              <w:spacing w:before="30" w:after="30"/>
            </w:pPr>
            <w:r>
              <w:rPr>
                <w:rFonts w:ascii="Arial" w:cs="Arial" w:eastAsia="Arial" w:hAnsi="Arial"/>
                <w:sz w:val="19"/>
                <w:szCs w:val="19"/>
              </w:rPr>
              <w:t xml:space="preserve">Patch management &amp; monitoring infrastruktur</w:t>
            </w:r>
          </w:p>
          <w:p>
            <w:pPr>
              <w:spacing w:before="30" w:after="30"/>
            </w:pPr>
            <w:r>
              <w:rPr>
                <w:rFonts w:ascii="Arial" w:cs="Arial" w:eastAsia="Arial" w:hAnsi="Arial"/>
                <w:sz w:val="19"/>
                <w:szCs w:val="19"/>
              </w:rPr>
              <w:t xml:space="preserve">Tata kelola TI dan manajemen vendor TI</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Core insurance system</w:t>
            </w:r>
          </w:p>
          <w:p>
            <w:pPr>
              <w:spacing w:before="30" w:after="30"/>
            </w:pPr>
            <w:r>
              <w:rPr>
                <w:rFonts w:ascii="Arial" w:cs="Arial" w:eastAsia="Arial" w:hAnsi="Arial"/>
                <w:sz w:val="19"/>
                <w:szCs w:val="19"/>
              </w:rPr>
              <w:t xml:space="preserve">Database nasabah &amp; polis</w:t>
            </w:r>
          </w:p>
          <w:p>
            <w:pPr>
              <w:spacing w:before="30" w:after="30"/>
            </w:pPr>
            <w:r>
              <w:rPr>
                <w:rFonts w:ascii="Arial" w:cs="Arial" w:eastAsia="Arial" w:hAnsi="Arial"/>
                <w:sz w:val="19"/>
                <w:szCs w:val="19"/>
              </w:rPr>
              <w:t xml:space="preserve">Infrastruktur jaringan &amp; server</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CBO — Individual &amp; Institutional Business
(Agency, Digital Acq, Bancassurance, Corporate, Product Mgmt)</w:t>
            </w:r>
          </w:p>
        </w:tc>
        <w:tc>
          <w:tcPr>
            <w:tcW w:type="dxa" w:w="30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before="30" w:after="30"/>
            </w:pPr>
            <w:r>
              <w:rPr>
                <w:rFonts w:ascii="Arial" w:cs="Arial" w:eastAsia="Arial" w:hAnsi="Arial"/>
                <w:sz w:val="19"/>
                <w:szCs w:val="19"/>
              </w:rPr>
              <w:t xml:space="preserve">Mematuhi kebijakan penanganan data nasabah</w:t>
            </w:r>
          </w:p>
          <w:p>
            <w:pPr>
              <w:spacing w:before="30" w:after="30"/>
            </w:pPr>
            <w:r>
              <w:rPr>
                <w:rFonts w:ascii="Arial" w:cs="Arial" w:eastAsia="Arial" w:hAnsi="Arial"/>
                <w:sz w:val="19"/>
                <w:szCs w:val="19"/>
              </w:rPr>
              <w:t xml:space="preserve">Keamanan data agen dan mitra distribusi</w:t>
            </w:r>
          </w:p>
          <w:p>
            <w:pPr>
              <w:spacing w:before="30" w:after="30"/>
            </w:pPr>
            <w:r>
              <w:rPr>
                <w:rFonts w:ascii="Arial" w:cs="Arial" w:eastAsia="Arial" w:hAnsi="Arial"/>
                <w:sz w:val="19"/>
                <w:szCs w:val="19"/>
              </w:rPr>
              <w:t xml:space="preserve">Melaporkan insiden atau anomali ke IT Security</w:t>
            </w:r>
          </w:p>
        </w:tc>
        <w:tc>
          <w:tcPr>
            <w:tcW w:type="dxa" w:w="38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before="30" w:after="30"/>
            </w:pPr>
            <w:r>
              <w:rPr>
                <w:rFonts w:ascii="Arial" w:cs="Arial" w:eastAsia="Arial" w:hAnsi="Arial"/>
                <w:sz w:val="19"/>
                <w:szCs w:val="19"/>
              </w:rPr>
              <w:t xml:space="preserve">Data prospek &amp; nasabah baru</w:t>
            </w:r>
          </w:p>
          <w:p>
            <w:pPr>
              <w:spacing w:before="30" w:after="30"/>
            </w:pPr>
            <w:r>
              <w:rPr>
                <w:rFonts w:ascii="Arial" w:cs="Arial" w:eastAsia="Arial" w:hAnsi="Arial"/>
                <w:sz w:val="19"/>
                <w:szCs w:val="19"/>
              </w:rPr>
              <w:t xml:space="preserve">Data kinerja agen &amp; komisi</w:t>
            </w:r>
          </w:p>
          <w:p>
            <w:pPr>
              <w:spacing w:before="30" w:after="30"/>
            </w:pPr>
            <w:r>
              <w:rPr>
                <w:rFonts w:ascii="Arial" w:cs="Arial" w:eastAsia="Arial" w:hAnsi="Arial"/>
                <w:sz w:val="19"/>
                <w:szCs w:val="19"/>
              </w:rPr>
              <w:t xml:space="preserve">Data produk &amp; pricing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Operation Director
(Underwriting, Klaim, Customer Mgmt, Policyowner Relation)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Keamanan data proses underwriting &amp; klaim</w:t>
            </w:r>
          </w:p>
          <w:p>
            <w:pPr>
              <w:spacing w:before="30" w:after="30"/>
            </w:pPr>
            <w:r>
              <w:rPr>
                <w:rFonts w:ascii="Arial" w:cs="Arial" w:eastAsia="Arial" w:hAnsi="Arial"/>
                <w:sz w:val="19"/>
                <w:szCs w:val="19"/>
              </w:rPr>
              <w:t xml:space="preserve">Kerahasiaan data medis &amp; personal nasabah</w:t>
            </w:r>
          </w:p>
          <w:p>
            <w:pPr>
              <w:spacing w:before="30" w:after="30"/>
            </w:pPr>
            <w:r>
              <w:rPr>
                <w:rFonts w:ascii="Arial" w:cs="Arial" w:eastAsia="Arial" w:hAnsi="Arial"/>
                <w:sz w:val="19"/>
                <w:szCs w:val="19"/>
              </w:rPr>
              <w:t xml:space="preserve">Kontrol akses ke data polis aktif</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Data polis (policy data)</w:t>
            </w:r>
          </w:p>
          <w:p>
            <w:pPr>
              <w:spacing w:before="30" w:after="30"/>
            </w:pPr>
            <w:r>
              <w:rPr>
                <w:rFonts w:ascii="Arial" w:cs="Arial" w:eastAsia="Arial" w:hAnsi="Arial"/>
                <w:sz w:val="19"/>
                <w:szCs w:val="19"/>
              </w:rPr>
              <w:t xml:space="preserve">Data klaim &amp; medis nasabah</w:t>
            </w:r>
          </w:p>
          <w:p>
            <w:pPr>
              <w:spacing w:before="30" w:after="30"/>
            </w:pPr>
            <w:r>
              <w:rPr>
                <w:rFonts w:ascii="Arial" w:cs="Arial" w:eastAsia="Arial" w:hAnsi="Arial"/>
                <w:sz w:val="19"/>
                <w:szCs w:val="19"/>
              </w:rPr>
              <w:t xml:space="preserve">Data customer engagement &amp; analytics</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Finance &amp; Investment Director
(Finance, Accounting, Actuary, Investment)</w:t>
            </w:r>
          </w:p>
        </w:tc>
        <w:tc>
          <w:tcPr>
            <w:tcW w:type="dxa" w:w="30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before="30" w:after="30"/>
            </w:pPr>
            <w:r>
              <w:rPr>
                <w:rFonts w:ascii="Arial" w:cs="Arial" w:eastAsia="Arial" w:hAnsi="Arial"/>
                <w:sz w:val="19"/>
                <w:szCs w:val="19"/>
              </w:rPr>
              <w:t xml:space="preserve">Keamanan data keuangan dan laporan</w:t>
            </w:r>
          </w:p>
          <w:p>
            <w:pPr>
              <w:spacing w:before="30" w:after="30"/>
            </w:pPr>
            <w:r>
              <w:rPr>
                <w:rFonts w:ascii="Arial" w:cs="Arial" w:eastAsia="Arial" w:hAnsi="Arial"/>
                <w:sz w:val="19"/>
                <w:szCs w:val="19"/>
              </w:rPr>
              <w:t xml:space="preserve">Perlindungan model aktuaria &amp; valuasi</w:t>
            </w:r>
          </w:p>
          <w:p>
            <w:pPr>
              <w:spacing w:before="30" w:after="30"/>
            </w:pPr>
            <w:r>
              <w:rPr>
                <w:rFonts w:ascii="Arial" w:cs="Arial" w:eastAsia="Arial" w:hAnsi="Arial"/>
                <w:sz w:val="19"/>
                <w:szCs w:val="19"/>
              </w:rPr>
              <w:t xml:space="preserve">Kontrol akses data investasi &amp; portofolio</w:t>
            </w:r>
          </w:p>
        </w:tc>
        <w:tc>
          <w:tcPr>
            <w:tcW w:type="dxa" w:w="3826"/>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spacing w:before="30" w:after="30"/>
            </w:pPr>
            <w:r>
              <w:rPr>
                <w:rFonts w:ascii="Arial" w:cs="Arial" w:eastAsia="Arial" w:hAnsi="Arial"/>
                <w:sz w:val="19"/>
                <w:szCs w:val="19"/>
              </w:rPr>
              <w:t xml:space="preserve">Laporan keuangan perusahaan</w:t>
            </w:r>
          </w:p>
          <w:p>
            <w:pPr>
              <w:spacing w:before="30" w:after="30"/>
            </w:pPr>
            <w:r>
              <w:rPr>
                <w:rFonts w:ascii="Arial" w:cs="Arial" w:eastAsia="Arial" w:hAnsi="Arial"/>
                <w:sz w:val="19"/>
                <w:szCs w:val="19"/>
              </w:rPr>
              <w:t xml:space="preserve">Model aktuaria &amp; data valuasi</w:t>
            </w:r>
          </w:p>
          <w:p>
            <w:pPr>
              <w:spacing w:before="30" w:after="30"/>
            </w:pPr>
            <w:r>
              <w:rPr>
                <w:rFonts w:ascii="Arial" w:cs="Arial" w:eastAsia="Arial" w:hAnsi="Arial"/>
                <w:sz w:val="19"/>
                <w:szCs w:val="19"/>
              </w:rPr>
              <w:t xml:space="preserve">Data portofolio investasi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Human Capital &amp; General Affairs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Screening karyawan baru (background check)</w:t>
            </w:r>
          </w:p>
          <w:p>
            <w:pPr>
              <w:spacing w:before="30" w:after="30"/>
            </w:pPr>
            <w:r>
              <w:rPr>
                <w:rFonts w:ascii="Arial" w:cs="Arial" w:eastAsia="Arial" w:hAnsi="Arial"/>
                <w:sz w:val="19"/>
                <w:szCs w:val="19"/>
              </w:rPr>
              <w:t xml:space="preserve">Pengelolaan kontrak kerahasiaan (NDA)</w:t>
            </w:r>
          </w:p>
          <w:p>
            <w:pPr>
              <w:spacing w:before="30" w:after="30"/>
            </w:pPr>
            <w:r>
              <w:rPr>
                <w:rFonts w:ascii="Arial" w:cs="Arial" w:eastAsia="Arial" w:hAnsi="Arial"/>
                <w:sz w:val="19"/>
                <w:szCs w:val="19"/>
              </w:rPr>
              <w:t xml:space="preserve">Prosedur offboarding dan revokasi akses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30" w:after="30"/>
            </w:pPr>
            <w:r>
              <w:rPr>
                <w:rFonts w:ascii="Arial" w:cs="Arial" w:eastAsia="Arial" w:hAnsi="Arial"/>
                <w:sz w:val="19"/>
                <w:szCs w:val="19"/>
              </w:rPr>
              <w:t xml:space="preserve">Data personal karyawan (NIK, rekening, dll)</w:t>
            </w:r>
          </w:p>
          <w:p>
            <w:pPr>
              <w:spacing w:before="30" w:after="30"/>
            </w:pPr>
            <w:r>
              <w:rPr>
                <w:rFonts w:ascii="Arial" w:cs="Arial" w:eastAsia="Arial" w:hAnsi="Arial"/>
                <w:sz w:val="19"/>
                <w:szCs w:val="19"/>
              </w:rPr>
              <w:t xml:space="preserve">Data penggajian (payroll)</w:t>
            </w:r>
          </w:p>
          <w:p>
            <w:pPr>
              <w:spacing w:before="30" w:after="30"/>
            </w:pPr>
            <w:r>
              <w:rPr>
                <w:rFonts w:ascii="Arial" w:cs="Arial" w:eastAsia="Arial" w:hAnsi="Arial"/>
                <w:sz w:val="19"/>
                <w:szCs w:val="19"/>
              </w:rPr>
              <w:t xml:space="preserve">Data rekrutmen &amp; penilaian kinerja</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Compliance Director
(Legal, Compliance, Risk Management)</w:t>
            </w:r>
          </w:p>
        </w:tc>
        <w:tc>
          <w:tcPr>
            <w:tcW w:type="dxa" w:w="30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before="30" w:after="30"/>
            </w:pPr>
            <w:r>
              <w:rPr>
                <w:rFonts w:ascii="Arial" w:cs="Arial" w:eastAsia="Arial" w:hAnsi="Arial"/>
                <w:sz w:val="19"/>
                <w:szCs w:val="19"/>
              </w:rPr>
              <w:t xml:space="preserve">Memastikan kepatuhan regulasi OJK, BSSN, UU PDP</w:t>
            </w:r>
          </w:p>
          <w:p>
            <w:pPr>
              <w:spacing w:before="30" w:after="30"/>
            </w:pPr>
            <w:r>
              <w:rPr>
                <w:rFonts w:ascii="Arial" w:cs="Arial" w:eastAsia="Arial" w:hAnsi="Arial"/>
                <w:sz w:val="19"/>
                <w:szCs w:val="19"/>
              </w:rPr>
              <w:t xml:space="preserve">Pengelolaan risiko keamanan informasi terintegrasi</w:t>
            </w:r>
          </w:p>
          <w:p>
            <w:pPr>
              <w:spacing w:before="30" w:after="30"/>
            </w:pPr>
            <w:r>
              <w:rPr>
                <w:rFonts w:ascii="Arial" w:cs="Arial" w:eastAsia="Arial" w:hAnsi="Arial"/>
                <w:sz w:val="19"/>
                <w:szCs w:val="19"/>
              </w:rPr>
              <w:t xml:space="preserve">Pelaporan insiden ke regulator (OJK/BSSN)</w:t>
            </w:r>
          </w:p>
        </w:tc>
        <w:tc>
          <w:tcPr>
            <w:tcW w:type="dxa" w:w="38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spacing w:before="30" w:after="30"/>
            </w:pPr>
            <w:r>
              <w:rPr>
                <w:rFonts w:ascii="Arial" w:cs="Arial" w:eastAsia="Arial" w:hAnsi="Arial"/>
                <w:sz w:val="19"/>
                <w:szCs w:val="19"/>
              </w:rPr>
              <w:t xml:space="preserve">Data regulasi &amp; kepatuhan</w:t>
            </w:r>
          </w:p>
          <w:p>
            <w:pPr>
              <w:spacing w:before="30" w:after="30"/>
            </w:pPr>
            <w:r>
              <w:rPr>
                <w:rFonts w:ascii="Arial" w:cs="Arial" w:eastAsia="Arial" w:hAnsi="Arial"/>
                <w:sz w:val="19"/>
                <w:szCs w:val="19"/>
              </w:rPr>
              <w:t xml:space="preserve">Hasil risk assessment &amp; audit</w:t>
            </w:r>
          </w:p>
          <w:p>
            <w:pPr>
              <w:spacing w:before="30" w:after="30"/>
            </w:pPr>
            <w:r>
              <w:rPr>
                <w:rFonts w:ascii="Arial" w:cs="Arial" w:eastAsia="Arial" w:hAnsi="Arial"/>
                <w:sz w:val="19"/>
                <w:szCs w:val="19"/>
              </w:rPr>
              <w:t xml:space="preserve">Laporan stress test &amp; skenario risiko</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Internal Audit</w:t>
            </w:r>
          </w:p>
        </w:tc>
        <w:tc>
          <w:tcPr>
            <w:tcW w:type="dxa" w:w="30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spacing w:before="30" w:after="30"/>
            </w:pPr>
            <w:r>
              <w:rPr>
                <w:rFonts w:ascii="Arial" w:cs="Arial" w:eastAsia="Arial" w:hAnsi="Arial"/>
                <w:sz w:val="19"/>
                <w:szCs w:val="19"/>
              </w:rPr>
              <w:t xml:space="preserve">Audit independen efektivitas SMKI</w:t>
            </w:r>
          </w:p>
          <w:p>
            <w:pPr>
              <w:spacing w:before="30" w:after="30"/>
            </w:pPr>
            <w:r>
              <w:rPr>
                <w:rFonts w:ascii="Arial" w:cs="Arial" w:eastAsia="Arial" w:hAnsi="Arial"/>
                <w:sz w:val="19"/>
                <w:szCs w:val="19"/>
              </w:rPr>
              <w:t xml:space="preserve">Verifikasi kepatuhan kebijakan keamanan</w:t>
            </w:r>
          </w:p>
          <w:p>
            <w:pPr>
              <w:spacing w:before="30" w:after="30"/>
            </w:pPr>
            <w:r>
              <w:rPr>
                <w:rFonts w:ascii="Arial" w:cs="Arial" w:eastAsia="Arial" w:hAnsi="Arial"/>
                <w:sz w:val="19"/>
                <w:szCs w:val="19"/>
              </w:rPr>
              <w:t xml:space="preserve">Pelaporan temuan audit ke Dewan Komisaris</w:t>
            </w:r>
          </w:p>
        </w:tc>
        <w:tc>
          <w:tcPr>
            <w:tcW w:type="dxa" w:w="38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spacing w:before="30" w:after="30"/>
            </w:pPr>
            <w:r>
              <w:rPr>
                <w:rFonts w:ascii="Arial" w:cs="Arial" w:eastAsia="Arial" w:hAnsi="Arial"/>
                <w:sz w:val="19"/>
                <w:szCs w:val="19"/>
              </w:rPr>
              <w:t xml:space="preserve">Laporan audit &amp; temuan</w:t>
            </w:r>
          </w:p>
          <w:p>
            <w:pPr>
              <w:spacing w:before="30" w:after="30"/>
            </w:pPr>
            <w:r>
              <w:rPr>
                <w:rFonts w:ascii="Arial" w:cs="Arial" w:eastAsia="Arial" w:hAnsi="Arial"/>
                <w:sz w:val="19"/>
                <w:szCs w:val="19"/>
              </w:rPr>
              <w:t xml:space="preserve">Bukti kepatuhan SMKI</w:t>
            </w:r>
          </w:p>
          <w:p>
            <w:pPr>
              <w:spacing w:before="30" w:after="30"/>
            </w:pPr>
            <w:r>
              <w:rPr>
                <w:rFonts w:ascii="Arial" w:cs="Arial" w:eastAsia="Arial" w:hAnsi="Arial"/>
                <w:sz w:val="19"/>
                <w:szCs w:val="19"/>
              </w:rPr>
              <w:t xml:space="preserve">Dokumen tindakan korektif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Seluruh Karyawan &amp; Agen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Memahami dan mematuhi kebijakan SMKI</w:t>
            </w:r>
          </w:p>
          <w:p>
            <w:pPr>
              <w:spacing w:before="30" w:after="30"/>
            </w:pPr>
            <w:r>
              <w:rPr>
                <w:rFonts w:ascii="Arial" w:cs="Arial" w:eastAsia="Arial" w:hAnsi="Arial"/>
                <w:sz w:val="19"/>
                <w:szCs w:val="19"/>
              </w:rPr>
              <w:t xml:space="preserve">Melaporkan insiden/kecurigaan insiden</w:t>
            </w:r>
          </w:p>
          <w:p>
            <w:pPr>
              <w:spacing w:before="30" w:after="30"/>
            </w:pPr>
            <w:r>
              <w:rPr>
                <w:rFonts w:ascii="Arial" w:cs="Arial" w:eastAsia="Arial" w:hAnsi="Arial"/>
                <w:sz w:val="19"/>
                <w:szCs w:val="19"/>
              </w:rPr>
              <w:t xml:space="preserve">Mengikuti pelatihan security awareness</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30" w:after="30"/>
            </w:pPr>
            <w:r>
              <w:rPr>
                <w:rFonts w:ascii="Arial" w:cs="Arial" w:eastAsia="Arial" w:hAnsi="Arial"/>
                <w:sz w:val="19"/>
                <w:szCs w:val="19"/>
              </w:rPr>
              <w:t xml:space="preserve">Data yang mereka akses sesuai peran</w:t>
            </w:r>
          </w:p>
          <w:p>
            <w:pPr>
              <w:spacing w:before="30" w:after="30"/>
            </w:pPr>
            <w:r>
              <w:rPr>
                <w:rFonts w:ascii="Arial" w:cs="Arial" w:eastAsia="Arial" w:hAnsi="Arial"/>
                <w:sz w:val="19"/>
                <w:szCs w:val="19"/>
              </w:rPr>
              <w:t xml:space="preserve">Perangkat kerja (laptop, ponsel)</w:t>
            </w:r>
          </w:p>
        </w:tc>
      </w:tr>
    </w:tbl>
    <w:p>
      <w:pPr>
        <w:spacing w:before="160" w:after="0"/>
      </w:pPr>
      <w:r>
        <w:t xml:space="preserve"/>
      </w:r>
    </w:p>
    <w:p>
      <w:r>
        <w:br w:type="page"/>
      </w:r>
    </w:p>
    <w:p>
      <w:pPr>
        <w:pStyle w:val="Heading1"/>
        <w:spacing w:before="480" w:after="160"/>
      </w:pPr>
      <w:r>
        <w:rPr>
          <w:rFonts w:ascii="Arial" w:cs="Arial" w:eastAsia="Arial" w:hAnsi="Arial"/>
          <w:b/>
          <w:bCs/>
          <w:color w:val="1F3864"/>
          <w:sz w:val="34"/>
          <w:szCs w:val="34"/>
        </w:rPr>
        <w:t xml:space="preserve">6. Persyaratan Utama Keamanan Informasi</w:t>
      </w:r>
    </w:p>
    <w:p>
      <w:pPr>
        <w:pStyle w:val="Heading2"/>
        <w:spacing w:before="320" w:after="120"/>
      </w:pPr>
      <w:r>
        <w:rPr>
          <w:rFonts w:ascii="Arial" w:cs="Arial" w:eastAsia="Arial" w:hAnsi="Arial"/>
          <w:b/>
          <w:bCs/>
          <w:color w:val="2E75B6"/>
          <w:sz w:val="26"/>
          <w:szCs w:val="26"/>
        </w:rPr>
        <w:t xml:space="preserve">6.1 Klasifikasi dan Penanganan Informasi</w:t>
      </w:r>
    </w:p>
    <w:p>
      <w:pPr>
        <w:spacing w:before="80" w:after="80"/>
      </w:pPr>
      <w:r>
        <w:rPr>
          <w:rFonts w:ascii="Arial" w:cs="Arial" w:eastAsia="Arial" w:hAnsi="Arial"/>
          <w:sz w:val="22"/>
          <w:szCs w:val="22"/>
        </w:rPr>
        <w:t xml:space="preserve">Seluruh informasi Perusahaan diklasifikasikan ke dalam 4 level berikut: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Klasifikasi</w:t>
            </w:r>
          </w:p>
        </w:tc>
        <w:tc>
          <w:tcPr>
            <w:tcW w:type="dxa" w:w="52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Contoh &amp; Persyaratan Penanganan</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jc w:val="center"/>
            </w:pPr>
            <w:r>
              <w:rPr>
                <w:rFonts w:ascii="Arial" w:cs="Arial" w:eastAsia="Arial" w:hAnsi="Arial"/>
                <w:b/>
                <w:bCs/>
                <w:sz w:val="20"/>
                <w:szCs w:val="20"/>
              </w:rPr>
              <w:t xml:space="preserve">Level 4</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jc w:val="left"/>
            </w:pPr>
            <w:r>
              <w:rPr>
                <w:rFonts w:ascii="Arial" w:cs="Arial" w:eastAsia="Arial" w:hAnsi="Arial"/>
                <w:b/>
                <w:bCs/>
                <w:sz w:val="20"/>
                <w:szCs w:val="20"/>
              </w:rPr>
              <w:t xml:space="preserve">SANGAT RAHASIA (Top Secret)</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Model aktuaria inti, strategi investasi, data merger — enkripsi wajib, akses sangat terbatas</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bCs/>
                <w:sz w:val="20"/>
                <w:szCs w:val="20"/>
              </w:rPr>
              <w:t xml:space="preserve">Level 3</w:t>
            </w:r>
          </w:p>
        </w:tc>
        <w:tc>
          <w:tcPr>
            <w:tcW w:type="dxa" w:w="22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bCs/>
                <w:sz w:val="20"/>
                <w:szCs w:val="20"/>
              </w:rPr>
              <w:t xml:space="preserve">RAHASIA (Confidential)</w:t>
            </w:r>
          </w:p>
        </w:tc>
        <w:tc>
          <w:tcPr>
            <w:tcW w:type="dxa" w:w="5226"/>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 polis nasabah, data medis, data keuangan, password — enkripsi, NDA wajib</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bCs/>
                <w:sz w:val="20"/>
                <w:szCs w:val="20"/>
              </w:rPr>
              <w:t xml:space="preserve">Level 2</w:t>
            </w:r>
          </w:p>
        </w:tc>
        <w:tc>
          <w:tcPr>
            <w:tcW w:type="dxa" w:w="22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bCs/>
                <w:sz w:val="20"/>
                <w:szCs w:val="20"/>
              </w:rPr>
              <w:t xml:space="preserve">INTERNAL (Internal Use)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SOP, laporan internal, data kinerja — hanya untuk karyawan yang berwenang</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sz w:val="20"/>
                <w:szCs w:val="20"/>
              </w:rPr>
              <w:t xml:space="preserve">Level 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sz w:val="20"/>
                <w:szCs w:val="20"/>
              </w:rPr>
              <w:t xml:space="preserve">PUBLIK (Public)</w:t>
            </w:r>
          </w:p>
        </w:tc>
        <w:tc>
          <w:tcPr>
            <w:tcW w:type="dxa" w:w="52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Brosur produk, laporan tahunan publik, website — dapat diakses publik</w:t>
            </w:r>
          </w:p>
        </w:tc>
      </w:tr>
    </w:tbl>
    <w:p>
      <w:pPr>
        <w:spacing w:before="160" w:after="0"/>
      </w:pPr>
      <w:r>
        <w:t xml:space="preserve"/>
      </w:r>
    </w:p>
    <w:p>
      <w:pPr>
        <w:pStyle w:val="Heading2"/>
        <w:spacing w:before="320" w:after="120"/>
      </w:pPr>
      <w:r>
        <w:rPr>
          <w:rFonts w:ascii="Arial" w:cs="Arial" w:eastAsia="Arial" w:hAnsi="Arial"/>
          <w:b/>
          <w:bCs/>
          <w:color w:val="2E75B6"/>
          <w:sz w:val="26"/>
          <w:szCs w:val="26"/>
        </w:rPr>
        <w:t xml:space="preserve">6.2 Manajemen Akses dan Identitas</w:t>
      </w:r>
    </w:p>
    <w:p>
      <w:pPr>
        <w:pStyle w:val="ListParagraph"/>
        <w:numPr>
          <w:ilvl w:val="0"/>
          <w:numId w:val="2"/>
        </w:numPr>
        <w:spacing w:before="60" w:after="60"/>
      </w:pPr>
      <w:r>
        <w:rPr>
          <w:rFonts w:ascii="Arial" w:cs="Arial" w:eastAsia="Arial" w:hAnsi="Arial"/>
          <w:sz w:val="22"/>
          <w:szCs w:val="22"/>
        </w:rPr>
        <w:t xml:space="preserve">Setiap pengguna memiliki akun unik; sharing akun dilarang keras</w:t>
      </w:r>
    </w:p>
    <w:p>
      <w:pPr>
        <w:pStyle w:val="ListParagraph"/>
        <w:numPr>
          <w:ilvl w:val="0"/>
          <w:numId w:val="2"/>
        </w:numPr>
        <w:spacing w:before="60" w:after="60"/>
      </w:pPr>
      <w:r>
        <w:rPr>
          <w:rFonts w:ascii="Arial" w:cs="Arial" w:eastAsia="Arial" w:hAnsi="Arial"/>
          <w:sz w:val="22"/>
          <w:szCs w:val="22"/>
        </w:rPr>
        <w:t xml:space="preserve">Akses diberikan berdasarkan prinsip least privilege dan need-to-know</w:t>
      </w:r>
    </w:p>
    <w:p>
      <w:pPr>
        <w:pStyle w:val="ListParagraph"/>
        <w:numPr>
          <w:ilvl w:val="0"/>
          <w:numId w:val="2"/>
        </w:numPr>
        <w:spacing w:before="60" w:after="60"/>
      </w:pPr>
      <w:r>
        <w:rPr>
          <w:rFonts w:ascii="Arial" w:cs="Arial" w:eastAsia="Arial" w:hAnsi="Arial"/>
          <w:sz w:val="22"/>
          <w:szCs w:val="22"/>
        </w:rPr>
        <w:t xml:space="preserve">Multi-Factor Authentication (MFA) wajib untuk akses sistem kritis dan remote</w:t>
      </w:r>
    </w:p>
    <w:p>
      <w:pPr>
        <w:pStyle w:val="ListParagraph"/>
        <w:numPr>
          <w:ilvl w:val="0"/>
          <w:numId w:val="2"/>
        </w:numPr>
        <w:spacing w:before="60" w:after="60"/>
      </w:pPr>
      <w:r>
        <w:rPr>
          <w:rFonts w:ascii="Arial" w:cs="Arial" w:eastAsia="Arial" w:hAnsi="Arial"/>
          <w:sz w:val="22"/>
          <w:szCs w:val="22"/>
        </w:rPr>
        <w:t xml:space="preserve">Review hak akses dilakukan setiap 6 bulan oleh manajer unit dan tim IT</w:t>
      </w:r>
    </w:p>
    <w:p>
      <w:pPr>
        <w:pStyle w:val="ListParagraph"/>
        <w:numPr>
          <w:ilvl w:val="0"/>
          <w:numId w:val="2"/>
        </w:numPr>
        <w:spacing w:before="60" w:after="60"/>
      </w:pPr>
      <w:r>
        <w:rPr>
          <w:rFonts w:ascii="Arial" w:cs="Arial" w:eastAsia="Arial" w:hAnsi="Arial"/>
          <w:sz w:val="22"/>
          <w:szCs w:val="22"/>
        </w:rPr>
        <w:t xml:space="preserve">Akses direvoke dalam 24 jam setelah karyawan/agen mengakhiri hubungan kerja</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6.3 Keamanan Perangkat dan Endpoint</w:t>
      </w:r>
    </w:p>
    <w:p>
      <w:pPr>
        <w:pStyle w:val="ListParagraph"/>
        <w:numPr>
          <w:ilvl w:val="0"/>
          <w:numId w:val="2"/>
        </w:numPr>
        <w:spacing w:before="60" w:after="60"/>
      </w:pPr>
      <w:r>
        <w:rPr>
          <w:rFonts w:ascii="Arial" w:cs="Arial" w:eastAsia="Arial" w:hAnsi="Arial"/>
          <w:sz w:val="22"/>
          <w:szCs w:val="22"/>
        </w:rPr>
        <w:t xml:space="preserve">Semua laptop/PC diwajibkan menggunakan enkripsi disk penuh (Full Disk Encryption)</w:t>
      </w:r>
    </w:p>
    <w:p>
      <w:pPr>
        <w:pStyle w:val="ListParagraph"/>
        <w:numPr>
          <w:ilvl w:val="0"/>
          <w:numId w:val="2"/>
        </w:numPr>
        <w:spacing w:before="60" w:after="60"/>
      </w:pPr>
      <w:r>
        <w:rPr>
          <w:rFonts w:ascii="Arial" w:cs="Arial" w:eastAsia="Arial" w:hAnsi="Arial"/>
          <w:sz w:val="22"/>
          <w:szCs w:val="22"/>
        </w:rPr>
        <w:t xml:space="preserve">Akses ke sistem Perusahaan dari perangkat personal hanya melalui VPN resmi Perusahaan</w:t>
      </w:r>
    </w:p>
    <w:p>
      <w:pPr>
        <w:pStyle w:val="ListParagraph"/>
        <w:numPr>
          <w:ilvl w:val="0"/>
          <w:numId w:val="2"/>
        </w:numPr>
        <w:spacing w:before="60" w:after="60"/>
      </w:pPr>
      <w:r>
        <w:rPr>
          <w:rFonts w:ascii="Arial" w:cs="Arial" w:eastAsia="Arial" w:hAnsi="Arial"/>
          <w:sz w:val="22"/>
          <w:szCs w:val="22"/>
        </w:rPr>
        <w:t xml:space="preserve">Software yang tidak berlisensi atau tidak disetujui IT dilarang diinstal</w:t>
      </w:r>
    </w:p>
    <w:p>
      <w:pPr>
        <w:pStyle w:val="ListParagraph"/>
        <w:numPr>
          <w:ilvl w:val="0"/>
          <w:numId w:val="2"/>
        </w:numPr>
        <w:spacing w:before="60" w:after="60"/>
      </w:pPr>
      <w:r>
        <w:rPr>
          <w:rFonts w:ascii="Arial" w:cs="Arial" w:eastAsia="Arial" w:hAnsi="Arial"/>
          <w:sz w:val="22"/>
          <w:szCs w:val="22"/>
        </w:rPr>
        <w:t xml:space="preserve">Layar wajib terkunci otomatis setelah 10 menit tidak aktif (clear screen policy)</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6.4 Manajemen Insiden Keamanan</w:t>
      </w:r>
    </w:p>
    <w:p>
      <w:pPr>
        <w:pStyle w:val="ListParagraph"/>
        <w:numPr>
          <w:ilvl w:val="0"/>
          <w:numId w:val="2"/>
        </w:numPr>
        <w:spacing w:before="60" w:after="60"/>
      </w:pPr>
      <w:r>
        <w:rPr>
          <w:rFonts w:ascii="Arial" w:cs="Arial" w:eastAsia="Arial" w:hAnsi="Arial"/>
          <w:sz w:val="22"/>
          <w:szCs w:val="22"/>
        </w:rPr>
        <w:t xml:space="preserve">Setiap insiden atau kecurigaan insiden WAJIB dilaporkan ke IT Security dalam waktu maksimal 1 jam</w:t>
      </w:r>
    </w:p>
    <w:p>
      <w:pPr>
        <w:pStyle w:val="ListParagraph"/>
        <w:numPr>
          <w:ilvl w:val="0"/>
          <w:numId w:val="2"/>
        </w:numPr>
        <w:spacing w:before="60" w:after="60"/>
      </w:pPr>
      <w:r>
        <w:rPr>
          <w:rFonts w:ascii="Arial" w:cs="Arial" w:eastAsia="Arial" w:hAnsi="Arial"/>
          <w:sz w:val="22"/>
          <w:szCs w:val="22"/>
        </w:rPr>
        <w:t xml:space="preserve">Perusahaan wajib melaporkan insiden pelanggaran data ke OJK dalam 14 hari kerja</w:t>
      </w:r>
    </w:p>
    <w:p>
      <w:pPr>
        <w:pStyle w:val="ListParagraph"/>
        <w:numPr>
          <w:ilvl w:val="0"/>
          <w:numId w:val="2"/>
        </w:numPr>
        <w:spacing w:before="60" w:after="60"/>
      </w:pPr>
      <w:r>
        <w:rPr>
          <w:rFonts w:ascii="Arial" w:cs="Arial" w:eastAsia="Arial" w:hAnsi="Arial"/>
          <w:sz w:val="22"/>
          <w:szCs w:val="22"/>
        </w:rPr>
        <w:t xml:space="preserve">Tidak ada sanksi bagi pelapor insiden yang beritikad baik</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6.5 Kelangsungan Bisnis dan Pemulihan Bencana</w:t>
      </w:r>
    </w:p>
    <w:p>
      <w:pPr>
        <w:pStyle w:val="ListParagraph"/>
        <w:numPr>
          <w:ilvl w:val="0"/>
          <w:numId w:val="2"/>
        </w:numPr>
        <w:spacing w:before="60" w:after="60"/>
      </w:pPr>
      <w:r>
        <w:rPr>
          <w:rFonts w:ascii="Arial" w:cs="Arial" w:eastAsia="Arial" w:hAnsi="Arial"/>
          <w:sz w:val="22"/>
          <w:szCs w:val="22"/>
        </w:rPr>
        <w:t xml:space="preserve">BCP dan DRP diuji minimal sekali setahun</w:t>
      </w:r>
    </w:p>
    <w:p>
      <w:pPr>
        <w:pStyle w:val="ListParagraph"/>
        <w:numPr>
          <w:ilvl w:val="0"/>
          <w:numId w:val="2"/>
        </w:numPr>
        <w:spacing w:before="60" w:after="60"/>
      </w:pPr>
      <w:r>
        <w:rPr>
          <w:rFonts w:ascii="Arial" w:cs="Arial" w:eastAsia="Arial" w:hAnsi="Arial"/>
          <w:sz w:val="22"/>
          <w:szCs w:val="22"/>
        </w:rPr>
        <w:t xml:space="preserve">Backup data dilakukan harian dan disimpan di lokasi terpisah dari data utama</w:t>
      </w:r>
    </w:p>
    <w:p>
      <w:pPr>
        <w:pStyle w:val="ListParagraph"/>
        <w:numPr>
          <w:ilvl w:val="0"/>
          <w:numId w:val="2"/>
        </w:numPr>
        <w:spacing w:before="60" w:after="60"/>
      </w:pPr>
      <w:r>
        <w:rPr>
          <w:rFonts w:ascii="Arial" w:cs="Arial" w:eastAsia="Arial" w:hAnsi="Arial"/>
          <w:sz w:val="22"/>
          <w:szCs w:val="22"/>
        </w:rPr>
        <w:t xml:space="preserve">RTO (Recovery Time Objective) dan RPO (Recovery Point Objective) ditetapkan untuk setiap sistem kritis</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6.6 Keamanan Vendor dan Pihak Ketiga</w:t>
      </w:r>
    </w:p>
    <w:p>
      <w:pPr>
        <w:pStyle w:val="ListParagraph"/>
        <w:numPr>
          <w:ilvl w:val="0"/>
          <w:numId w:val="2"/>
        </w:numPr>
        <w:spacing w:before="60" w:after="60"/>
      </w:pPr>
      <w:r>
        <w:rPr>
          <w:rFonts w:ascii="Arial" w:cs="Arial" w:eastAsia="Arial" w:hAnsi="Arial"/>
          <w:sz w:val="22"/>
          <w:szCs w:val="22"/>
        </w:rPr>
        <w:t xml:space="preserve">Semua vendor yang mengakses data nasabah wajib menandatangani Data Processing Agreement (DPA)</w:t>
      </w:r>
    </w:p>
    <w:p>
      <w:pPr>
        <w:pStyle w:val="ListParagraph"/>
        <w:numPr>
          <w:ilvl w:val="0"/>
          <w:numId w:val="2"/>
        </w:numPr>
        <w:spacing w:before="60" w:after="60"/>
      </w:pPr>
      <w:r>
        <w:rPr>
          <w:rFonts w:ascii="Arial" w:cs="Arial" w:eastAsia="Arial" w:hAnsi="Arial"/>
          <w:sz w:val="22"/>
          <w:szCs w:val="22"/>
        </w:rPr>
        <w:t xml:space="preserve">Penilaian keamanan vendor dilakukan sebelum kontrak ditandatangani</w:t>
      </w:r>
    </w:p>
    <w:p>
      <w:pPr>
        <w:pStyle w:val="ListParagraph"/>
        <w:numPr>
          <w:ilvl w:val="0"/>
          <w:numId w:val="2"/>
        </w:numPr>
        <w:spacing w:before="60" w:after="60"/>
      </w:pPr>
      <w:r>
        <w:rPr>
          <w:rFonts w:ascii="Arial" w:cs="Arial" w:eastAsia="Arial" w:hAnsi="Arial"/>
          <w:sz w:val="22"/>
          <w:szCs w:val="22"/>
        </w:rPr>
        <w:t xml:space="preserve">Akses vendor dibatasi, dipantau, dan direvoke setelah kontrak berakhir</w:t>
      </w:r>
    </w:p>
    <w:p>
      <w:pPr>
        <w:spacing w:before="80" w:after="0"/>
      </w:pPr>
      <w:r>
        <w:t xml:space="preserve"/>
      </w:r>
    </w:p>
    <w:p>
      <w:pPr>
        <w:pStyle w:val="Heading2"/>
        <w:spacing w:before="320" w:after="120"/>
      </w:pPr>
      <w:r>
        <w:rPr>
          <w:rFonts w:ascii="Arial" w:cs="Arial" w:eastAsia="Arial" w:hAnsi="Arial"/>
          <w:b/>
          <w:bCs/>
          <w:color w:val="2E75B6"/>
          <w:sz w:val="26"/>
          <w:szCs w:val="26"/>
        </w:rPr>
        <w:t xml:space="preserve">6.7 Kesadaran dan Pelatihan</w:t>
      </w:r>
    </w:p>
    <w:p>
      <w:pPr>
        <w:pStyle w:val="ListParagraph"/>
        <w:numPr>
          <w:ilvl w:val="0"/>
          <w:numId w:val="2"/>
        </w:numPr>
        <w:spacing w:before="60" w:after="60"/>
      </w:pPr>
      <w:r>
        <w:rPr>
          <w:rFonts w:ascii="Arial" w:cs="Arial" w:eastAsia="Arial" w:hAnsi="Arial"/>
          <w:sz w:val="22"/>
          <w:szCs w:val="22"/>
        </w:rPr>
        <w:t xml:space="preserve">Program security awareness training wajib diikuti seluruh karyawan minimal sekali setahun</w:t>
      </w:r>
    </w:p>
    <w:p>
      <w:pPr>
        <w:pStyle w:val="ListParagraph"/>
        <w:numPr>
          <w:ilvl w:val="0"/>
          <w:numId w:val="2"/>
        </w:numPr>
        <w:spacing w:before="60" w:after="60"/>
      </w:pPr>
      <w:r>
        <w:rPr>
          <w:rFonts w:ascii="Arial" w:cs="Arial" w:eastAsia="Arial" w:hAnsi="Arial"/>
          <w:sz w:val="22"/>
          <w:szCs w:val="22"/>
        </w:rPr>
        <w:t xml:space="preserve">Pelatihan khusus untuk tim IT, Developer, dan Security diberikan sesuai kebutuhan peran</w:t>
      </w:r>
    </w:p>
    <w:p>
      <w:pPr>
        <w:pStyle w:val="ListParagraph"/>
        <w:numPr>
          <w:ilvl w:val="0"/>
          <w:numId w:val="2"/>
        </w:numPr>
        <w:spacing w:before="60" w:after="60"/>
      </w:pPr>
      <w:r>
        <w:rPr>
          <w:rFonts w:ascii="Arial" w:cs="Arial" w:eastAsia="Arial" w:hAnsi="Arial"/>
          <w:sz w:val="22"/>
          <w:szCs w:val="22"/>
        </w:rPr>
        <w:t xml:space="preserve">Simulasi phishing dilakukan berkala untuk mengukur tingkat kewaspadaan</w:t>
      </w:r>
    </w:p>
    <w:p>
      <w:pPr>
        <w:spacing w:before="160" w:after="0"/>
      </w:pPr>
      <w:r>
        <w:t xml:space="preserve"/>
      </w:r>
    </w:p>
    <w:p>
      <w:r>
        <w:br w:type="page"/>
      </w:r>
    </w:p>
    <w:p>
      <w:pPr>
        <w:pStyle w:val="Heading1"/>
        <w:spacing w:before="480" w:after="160"/>
      </w:pPr>
      <w:r>
        <w:rPr>
          <w:rFonts w:ascii="Arial" w:cs="Arial" w:eastAsia="Arial" w:hAnsi="Arial"/>
          <w:b/>
          <w:bCs/>
          <w:color w:val="1F3864"/>
          <w:sz w:val="34"/>
          <w:szCs w:val="34"/>
        </w:rPr>
        <w:t xml:space="preserve">7. Kepatuhan dan Penegakan</w:t>
      </w:r>
    </w:p>
    <w:p>
      <w:pPr>
        <w:spacing w:before="80" w:after="80"/>
      </w:pPr>
      <w:r>
        <w:rPr>
          <w:rFonts w:ascii="Arial" w:cs="Arial" w:eastAsia="Arial" w:hAnsi="Arial"/>
          <w:sz w:val="22"/>
          <w:szCs w:val="22"/>
        </w:rPr>
        <w:t xml:space="preserve">Kebijakan ini bersifat mengikat untuk seluruh pihak dalam ruang lingkup. Pelanggaran terhadap kebijakan ini akan ditindaklanjuti sesuai dengan peraturan perusahaan, perjanjian kerja, dan ketentuan hukum yang berlaku, termasuk:</w:t>
      </w:r>
    </w:p>
    <w:p>
      <w:pPr>
        <w:pStyle w:val="ListParagraph"/>
        <w:numPr>
          <w:ilvl w:val="0"/>
          <w:numId w:val="2"/>
        </w:numPr>
        <w:spacing w:before="60" w:after="60"/>
      </w:pPr>
      <w:r>
        <w:rPr>
          <w:rFonts w:ascii="Arial" w:cs="Arial" w:eastAsia="Arial" w:hAnsi="Arial"/>
          <w:sz w:val="22"/>
          <w:szCs w:val="22"/>
        </w:rPr>
        <w:t xml:space="preserve">Teguran tertulis / Surat Peringatan (SP1, SP2, SP3)</w:t>
      </w:r>
    </w:p>
    <w:p>
      <w:pPr>
        <w:pStyle w:val="ListParagraph"/>
        <w:numPr>
          <w:ilvl w:val="0"/>
          <w:numId w:val="2"/>
        </w:numPr>
        <w:spacing w:before="60" w:after="60"/>
      </w:pPr>
      <w:r>
        <w:rPr>
          <w:rFonts w:ascii="Arial" w:cs="Arial" w:eastAsia="Arial" w:hAnsi="Arial"/>
          <w:sz w:val="22"/>
          <w:szCs w:val="22"/>
        </w:rPr>
        <w:t xml:space="preserve">Pemutusan Hubungan Kerja (PHK) untuk pelanggaran berat</w:t>
      </w:r>
    </w:p>
    <w:p>
      <w:pPr>
        <w:pStyle w:val="ListParagraph"/>
        <w:numPr>
          <w:ilvl w:val="0"/>
          <w:numId w:val="2"/>
        </w:numPr>
        <w:spacing w:before="60" w:after="60"/>
      </w:pPr>
      <w:r>
        <w:rPr>
          <w:rFonts w:ascii="Arial" w:cs="Arial" w:eastAsia="Arial" w:hAnsi="Arial"/>
          <w:sz w:val="22"/>
          <w:szCs w:val="22"/>
        </w:rPr>
        <w:t xml:space="preserve">Tuntutan perdata/pidana jika pelanggaran berimplikasi hukum</w:t>
      </w:r>
    </w:p>
    <w:p>
      <w:pPr>
        <w:pStyle w:val="ListParagraph"/>
        <w:numPr>
          <w:ilvl w:val="0"/>
          <w:numId w:val="2"/>
        </w:numPr>
        <w:spacing w:before="60" w:after="60"/>
      </w:pPr>
      <w:r>
        <w:rPr>
          <w:rFonts w:ascii="Arial" w:cs="Arial" w:eastAsia="Arial" w:hAnsi="Arial"/>
          <w:sz w:val="22"/>
          <w:szCs w:val="22"/>
        </w:rPr>
        <w:t xml:space="preserve">Penghentian akses sistem secara permanen</w:t>
      </w:r>
    </w:p>
    <w:p>
      <w:pPr>
        <w:spacing w:before="80" w:after="0"/>
      </w:pPr>
      <w:r>
        <w:t xml:space="preserve"/>
      </w:r>
    </w:p>
    <w:p>
      <w:pPr>
        <w:spacing w:before="80" w:after="80"/>
      </w:pPr>
      <w:r>
        <w:rPr>
          <w:rFonts w:ascii="Arial" w:cs="Arial" w:eastAsia="Arial" w:hAnsi="Arial"/>
          <w:sz w:val="22"/>
          <w:szCs w:val="22"/>
        </w:rPr>
        <w:t xml:space="preserve">Tidak ada pengecualian terhadap kebijakan ini. Jika ada situasi yang memerlukan penyimpangan sementara, permohonan pengecualian formal harus diajukan kepada CTISO dan mendapat persetujuan tertulis.</w:t>
      </w:r>
    </w:p>
    <w:p>
      <w:pPr>
        <w:spacing w:before="160" w:after="0"/>
      </w:pPr>
      <w:r>
        <w:t xml:space="preserve"/>
      </w:r>
    </w:p>
    <w:p>
      <w:pPr>
        <w:pStyle w:val="Heading1"/>
        <w:spacing w:before="480" w:after="160"/>
      </w:pPr>
      <w:r>
        <w:rPr>
          <w:rFonts w:ascii="Arial" w:cs="Arial" w:eastAsia="Arial" w:hAnsi="Arial"/>
          <w:b/>
          <w:bCs/>
          <w:color w:val="1F3864"/>
          <w:sz w:val="34"/>
          <w:szCs w:val="34"/>
        </w:rPr>
        <w:t xml:space="preserve">8. Hubungan dengan Regulasi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Regulasi / Standar</w:t>
            </w:r>
          </w:p>
        </w:tc>
        <w:tc>
          <w:tcPr>
            <w:tcW w:type="dxa" w:w="6026"/>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Keterkaitan dengan Kebijakan Ini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UU No.27/2022 tentang Perlindungan Data Pribadi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Pasal 20–23: kewajiban melindungi data pemegang polis; Pasal 57: kewajiban notifikasi pelanggaran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POJK No.11/2022 (Tata Kelola TI LJK)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Kewajiban implementasi keamanan informasi, manajemen risiko TI, dan pelaporan insiden ke OJK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BSSN: Standar Nasional Keamanan Siber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Penerapan framework keamanan siber nasional dan koordinasi insiden siber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ISO/IEC 27001:2022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Standar internasional SMKI yang menjadi kerangka kerja kebijakan ini secara keseluruhan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UU No.40/2014 tentang Perasuransian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Kewajiban perlindungan data dan informasi pemegang polis dalam penyelenggaraan usaha asuransi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PCI-DSS (untuk transaksi premi)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Standar keamanan data kartu pembayaran yang berlaku untuk transaksi premi digital</w:t>
            </w:r>
          </w:p>
        </w:tc>
      </w:tr>
    </w:tbl>
    <w:p>
      <w:pPr>
        <w:spacing w:before="160" w:after="0"/>
      </w:pPr>
      <w:r>
        <w:t xml:space="preserve"/>
      </w:r>
    </w:p>
    <w:p>
      <w:pPr>
        <w:pStyle w:val="Heading1"/>
        <w:spacing w:before="480" w:after="160"/>
      </w:pPr>
      <w:r>
        <w:rPr>
          <w:rFonts w:ascii="Arial" w:cs="Arial" w:eastAsia="Arial" w:hAnsi="Arial"/>
          <w:b/>
          <w:bCs/>
          <w:color w:val="1F3864"/>
          <w:sz w:val="34"/>
          <w:szCs w:val="34"/>
        </w:rPr>
        <w:t xml:space="preserve">9. Tinjauan Kebijakan</w:t>
      </w:r>
    </w:p>
    <w:p>
      <w:pPr>
        <w:spacing w:before="80" w:after="80"/>
      </w:pPr>
      <w:r>
        <w:rPr>
          <w:rFonts w:ascii="Arial" w:cs="Arial" w:eastAsia="Arial" w:hAnsi="Arial"/>
          <w:sz w:val="22"/>
          <w:szCs w:val="22"/>
        </w:rPr>
        <w:t xml:space="preserve">Kebijakan ini ditinjau minimal sekali per tahun atau bila terjadi perubahan signifikan pada: lanskap ancaman siber, regulasi baru, perubahan struktur organisasi, insiden keamanan mayor, atau temuan audit. Usulan perubahan diajukan oleh CTISO kepada Direksi untuk disetujui.</w:t>
      </w:r>
    </w:p>
    <w:p>
      <w:pPr>
        <w:spacing w:before="160" w:after="0"/>
      </w:pPr>
      <w:r>
        <w:t xml:space="preserve"/>
      </w:r>
    </w:p>
    <w:p>
      <w:pPr>
        <w:pStyle w:val="Heading1"/>
        <w:spacing w:before="480" w:after="160"/>
      </w:pPr>
      <w:r>
        <w:rPr>
          <w:rFonts w:ascii="Arial" w:cs="Arial" w:eastAsia="Arial" w:hAnsi="Arial"/>
          <w:b/>
          <w:bCs/>
          <w:color w:val="1F3864"/>
          <w:sz w:val="34"/>
          <w:szCs w:val="34"/>
        </w:rPr>
        <w:t xml:space="preserve">10. Persetujuan Kebijakan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Dibuat Oleh</w:t>
            </w:r>
          </w:p>
        </w:tc>
        <w:tc>
          <w:tcPr>
            <w:tcW w:type="dxa" w:w="3009"/>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Diperiksa Oleh</w:t>
            </w:r>
          </w:p>
        </w:tc>
        <w:tc>
          <w:tcPr>
            <w:tcW w:type="dxa" w:w="3009"/>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Disetujui Oleh</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700" w:after="40"/>
            </w:pPr>
            <w:r>
              <w:rPr>
                <w:rFonts w:ascii="Arial" w:cs="Arial" w:eastAsia="Arial" w:hAnsi="Arial"/>
                <w:sz w:val="20"/>
                <w:szCs w:val="20"/>
              </w:rPr>
              <w:t xml:space="preserve">________________________</w:t>
            </w:r>
          </w:p>
          <w:p>
            <w:r>
              <w:rPr>
                <w:rFonts w:ascii="Arial" w:cs="Arial" w:eastAsia="Arial" w:hAnsi="Arial"/>
                <w:sz w:val="20"/>
                <w:szCs w:val="20"/>
              </w:rPr>
              <w:t xml:space="preserve">Nama: ............................</w:t>
            </w:r>
          </w:p>
          <w:p>
            <w:r>
              <w:rPr>
                <w:rFonts w:ascii="Arial" w:cs="Arial" w:eastAsia="Arial" w:hAnsi="Arial"/>
                <w:sz w:val="20"/>
                <w:szCs w:val="20"/>
              </w:rPr>
              <w:t xml:space="preserve">Jabatan: CTISO</w:t>
            </w:r>
          </w:p>
          <w:p>
            <w:r>
              <w:rPr>
                <w:rFonts w:ascii="Arial" w:cs="Arial" w:eastAsia="Arial" w:hAnsi="Arial"/>
                <w:sz w:val="20"/>
                <w:szCs w:val="20"/>
              </w:rPr>
              <w:t xml:space="preserve">Tanggal: _______________</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700" w:after="40"/>
            </w:pPr>
            <w:r>
              <w:rPr>
                <w:rFonts w:ascii="Arial" w:cs="Arial" w:eastAsia="Arial" w:hAnsi="Arial"/>
                <w:sz w:val="20"/>
                <w:szCs w:val="20"/>
              </w:rPr>
              <w:t xml:space="preserve">________________________</w:t>
            </w:r>
          </w:p>
          <w:p>
            <w:r>
              <w:rPr>
                <w:rFonts w:ascii="Arial" w:cs="Arial" w:eastAsia="Arial" w:hAnsi="Arial"/>
                <w:sz w:val="20"/>
                <w:szCs w:val="20"/>
              </w:rPr>
              <w:t xml:space="preserve">Nama: ............................</w:t>
            </w:r>
          </w:p>
          <w:p>
            <w:r>
              <w:rPr>
                <w:rFonts w:ascii="Arial" w:cs="Arial" w:eastAsia="Arial" w:hAnsi="Arial"/>
                <w:sz w:val="20"/>
                <w:szCs w:val="20"/>
              </w:rPr>
              <w:t xml:space="preserve">Jabatan: Compliance Director</w:t>
            </w:r>
          </w:p>
          <w:p>
            <w:r>
              <w:rPr>
                <w:rFonts w:ascii="Arial" w:cs="Arial" w:eastAsia="Arial" w:hAnsi="Arial"/>
                <w:sz w:val="20"/>
                <w:szCs w:val="20"/>
              </w:rPr>
              <w:t xml:space="preserve">Tanggal: _______________</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700" w:after="40"/>
            </w:pPr>
            <w:r>
              <w:rPr>
                <w:rFonts w:ascii="Arial" w:cs="Arial" w:eastAsia="Arial" w:hAnsi="Arial"/>
                <w:sz w:val="20"/>
                <w:szCs w:val="20"/>
              </w:rPr>
              <w:t xml:space="preserve">________________________</w:t>
            </w:r>
          </w:p>
          <w:p>
            <w:r>
              <w:rPr>
                <w:rFonts w:ascii="Arial" w:cs="Arial" w:eastAsia="Arial" w:hAnsi="Arial"/>
                <w:sz w:val="20"/>
                <w:szCs w:val="20"/>
              </w:rPr>
              <w:t xml:space="preserve">Nama: ............................</w:t>
            </w:r>
          </w:p>
          <w:p>
            <w:r>
              <w:rPr>
                <w:rFonts w:ascii="Arial" w:cs="Arial" w:eastAsia="Arial" w:hAnsi="Arial"/>
                <w:sz w:val="20"/>
                <w:szCs w:val="20"/>
              </w:rPr>
              <w:t xml:space="preserve">Jabatan: President Director</w:t>
            </w:r>
          </w:p>
          <w:p>
            <w:r>
              <w:rPr>
                <w:rFonts w:ascii="Arial" w:cs="Arial" w:eastAsia="Arial" w:hAnsi="Arial"/>
                <w:sz w:val="20"/>
                <w:szCs w:val="20"/>
              </w:rPr>
              <w:t xml:space="preserve">Tanggal: _______________</w:t>
            </w:r>
          </w:p>
        </w:tc>
      </w:tr>
    </w:tbl>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8" w:space="1"/>
      </w:pBdr>
      <w:tabs>
        <w:tab w:val="right" w:pos="8506"/>
      </w:tabs>
      <w:spacing w:before="120"/>
    </w:pPr>
    <w:r>
      <w:rPr>
        <w:rFonts w:ascii="Arial" w:cs="Arial" w:eastAsia="Arial" w:hAnsi="Arial"/>
        <w:color w:val="595959"/>
        <w:sz w:val="16"/>
        <w:szCs w:val="16"/>
      </w:rPr>
      <w:t xml:space="preserve">PT Asuransi [Nama Perusahaan]  |  Rahasia  |  © 2025</w:t>
    </w:r>
    <w:r>
      <w:rPr>
        <w:rFonts w:ascii="Arial" w:cs="Arial" w:eastAsia="Arial" w:hAnsi="Arial"/>
        <w:color w:val="595959"/>
        <w:sz w:val="16"/>
        <w:szCs w:val="16"/>
      </w:rPr>
      <w:t xml:space="preserve">	Hal.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dari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8" w:space="1"/>
      </w:pBdr>
      <w:tabs>
        <w:tab w:val="right" w:pos="8506"/>
      </w:tabs>
      <w:spacing w:after="120"/>
    </w:pPr>
    <w:r>
      <w:rPr>
        <w:rFonts w:ascii="Arial" w:cs="Arial" w:eastAsia="Arial" w:hAnsi="Arial"/>
        <w:b/>
        <w:bCs/>
        <w:color w:val="1F3864"/>
        <w:sz w:val="18"/>
        <w:szCs w:val="18"/>
      </w:rPr>
      <w:t xml:space="preserve">KEBIJAKAN SISTEM MANAJEMEN KEAMANAN INFORMASI (SMKI)</w:t>
    </w:r>
    <w:r>
      <w:rPr>
        <w:sz w:val="18"/>
        <w:szCs w:val="18"/>
      </w:rPr>
      <w:t xml:space="preserve">	</w:t>
    </w:r>
    <w:r>
      <w:rPr>
        <w:rFonts w:ascii="Arial" w:cs="Arial" w:eastAsia="Arial" w:hAnsi="Arial"/>
        <w:color w:val="595959"/>
        <w:sz w:val="16"/>
        <w:szCs w:val="16"/>
      </w:rPr>
      <w:t xml:space="preserve">SMKI-POL-001 | ISO 27001:2022 Klausul 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2026-03-05T14:26:27.886Z</dcterms:created>
  <dcterms:modified xsi:type="dcterms:W3CDTF">2026-03-05T14:26:27.886Z</dcterms:modified>
</cp:coreProperties>
</file>

<file path=docProps/custom.xml><?xml version="1.0" encoding="utf-8"?>
<Properties xmlns="http://schemas.openxmlformats.org/officeDocument/2006/custom-properties" xmlns:vt="http://schemas.openxmlformats.org/officeDocument/2006/docPropsVTypes"/>
</file>