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55"/>
      </w:tblGrid>
      <w:tr>
        <w:tc>
          <w:tcPr>
            <w:tcW w:type="dxa" w:w="9355"/>
            <w:shd w:val="clear" w:color="auto" w:fill="1F497D"/>
          </w:tcPr>
          <w:p>
            <w:pPr>
              <w:spacing w:before="400" w:after="400"/>
              <w:jc w:val="center"/>
            </w:pPr>
            <w:r>
              <w:rPr>
                <w:b/>
                <w:color w:val="FFFFFF"/>
                <w:sz w:val="36"/>
              </w:rPr>
              <w:t>PT EQUITY LIFE INDONESIA</w:t>
            </w:r>
          </w:p>
        </w:tc>
      </w:tr>
    </w:tbl>
    <w:p/>
    <w:p>
      <w:pPr>
        <w:jc w:val="center"/>
      </w:pPr>
      <w:r>
        <w:rPr>
          <w:color w:val="2E74B5"/>
          <w:sz w:val="26"/>
        </w:rPr>
        <w:t>ISO/IEC 27001:2022</w:t>
      </w:r>
    </w:p>
    <w:p/>
    <w:p>
      <w:pPr>
        <w:jc w:val="center"/>
      </w:pPr>
      <w:r>
        <w:rPr>
          <w:b/>
          <w:color w:val="1F497D"/>
          <w:sz w:val="40"/>
        </w:rPr>
        <w:t>Kebijakan dan SOP Pemantauan Aktivitas</w:t>
      </w:r>
    </w:p>
    <w:p>
      <w:pPr>
        <w:jc w:val="center"/>
      </w:pPr>
      <w:r>
        <w:rPr>
          <w:color w:val="2E74B5"/>
          <w:sz w:val="24"/>
        </w:rPr>
        <w:t>Security Activity Monitoring Policy &amp; Procedure</w:t>
      </w:r>
    </w:p>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EEAF1"/>
          </w:tcPr>
          <w:p>
            <w:r>
              <w:rPr>
                <w:b/>
                <w:color w:val="1F497D"/>
                <w:sz w:val="20"/>
              </w:rPr>
              <w:t>Nomor Dokumen</w:t>
            </w:r>
          </w:p>
        </w:tc>
        <w:tc>
          <w:tcPr>
            <w:tcW w:type="dxa" w:w="4677"/>
          </w:tcPr>
          <w:p>
            <w:r>
              <w:rPr>
                <w:sz w:val="20"/>
              </w:rPr>
              <w:t>ISMS-AM-001</w:t>
            </w:r>
          </w:p>
        </w:tc>
      </w:tr>
      <w:tr>
        <w:tc>
          <w:tcPr>
            <w:tcW w:type="dxa" w:w="4677"/>
            <w:shd w:val="clear" w:color="auto" w:fill="DEEAF1"/>
          </w:tcPr>
          <w:p>
            <w:r>
              <w:rPr>
                <w:b/>
                <w:color w:val="1F497D"/>
                <w:sz w:val="20"/>
              </w:rPr>
              <w:t>Versi</w:t>
            </w:r>
          </w:p>
        </w:tc>
        <w:tc>
          <w:tcPr>
            <w:tcW w:type="dxa" w:w="4677"/>
          </w:tcPr>
          <w:p>
            <w:r>
              <w:rPr>
                <w:sz w:val="20"/>
              </w:rPr>
              <w:t>1.0</w:t>
            </w:r>
          </w:p>
        </w:tc>
      </w:tr>
      <w:tr>
        <w:tc>
          <w:tcPr>
            <w:tcW w:type="dxa" w:w="4677"/>
            <w:shd w:val="clear" w:color="auto" w:fill="DEEAF1"/>
          </w:tcPr>
          <w:p>
            <w:r>
              <w:rPr>
                <w:b/>
                <w:color w:val="1F497D"/>
                <w:sz w:val="20"/>
              </w:rPr>
              <w:t>Tanggal Efektif</w:t>
            </w:r>
          </w:p>
        </w:tc>
        <w:tc>
          <w:tcPr>
            <w:tcW w:type="dxa" w:w="4677"/>
          </w:tcPr>
          <w:p>
            <w:r>
              <w:rPr>
                <w:sz w:val="20"/>
              </w:rPr>
              <w:t>Februari 2026</w:t>
            </w:r>
          </w:p>
        </w:tc>
      </w:tr>
      <w:tr>
        <w:tc>
          <w:tcPr>
            <w:tcW w:type="dxa" w:w="4677"/>
            <w:shd w:val="clear" w:color="auto" w:fill="DEEAF1"/>
          </w:tcPr>
          <w:p>
            <w:r>
              <w:rPr>
                <w:b/>
                <w:color w:val="1F497D"/>
                <w:sz w:val="20"/>
              </w:rPr>
              <w:t>Klasifikasi</w:t>
            </w:r>
          </w:p>
        </w:tc>
        <w:tc>
          <w:tcPr>
            <w:tcW w:type="dxa" w:w="4677"/>
          </w:tcPr>
          <w:p>
            <w:r>
              <w:rPr>
                <w:sz w:val="20"/>
              </w:rPr>
              <w:t>RAHASIA - INTERNAL</w:t>
            </w:r>
          </w:p>
        </w:tc>
      </w:tr>
    </w:tbl>
    <w:p>
      <w:r>
        <w:br w:type="page"/>
      </w:r>
    </w:p>
    <w:p>
      <w:pPr>
        <w:spacing w:before="280" w:after="120"/>
        <w:pBdr>
          <w:bottom w:val="single" w:sz="6" w:color="1F497D"/>
        </w:pBdr>
      </w:pPr>
      <w:r>
        <w:rPr>
          <w:b/>
          <w:color w:val="1F497D"/>
          <w:sz w:val="28"/>
        </w:rPr>
        <w:t>PENGENDALIAN DOKUMEN</w:t>
      </w:r>
    </w:p>
    <w:p>
      <w:pPr>
        <w:spacing w:before="200" w:after="120"/>
      </w:pPr>
      <w:r>
        <w:rPr>
          <w:b/>
          <w:color w:val="2E74B5"/>
          <w:sz w:val="24"/>
        </w:rPr>
        <w:t>Riwayat Revisi</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8"/>
              </w:rPr>
              <w:t>Versi</w:t>
            </w:r>
          </w:p>
        </w:tc>
        <w:tc>
          <w:tcPr>
            <w:tcW w:type="dxa" w:w="1871"/>
            <w:shd w:val="clear" w:color="auto" w:fill="1F497D"/>
          </w:tcPr>
          <w:p>
            <w:r>
              <w:rPr>
                <w:b/>
                <w:color w:val="FFFFFF"/>
                <w:sz w:val="18"/>
              </w:rPr>
              <w:t>Tanggal</w:t>
            </w:r>
          </w:p>
        </w:tc>
        <w:tc>
          <w:tcPr>
            <w:tcW w:type="dxa" w:w="1871"/>
            <w:shd w:val="clear" w:color="auto" w:fill="1F497D"/>
          </w:tcPr>
          <w:p>
            <w:r>
              <w:rPr>
                <w:b/>
                <w:color w:val="FFFFFF"/>
                <w:sz w:val="18"/>
              </w:rPr>
              <w:t>Penyusun</w:t>
            </w:r>
          </w:p>
        </w:tc>
        <w:tc>
          <w:tcPr>
            <w:tcW w:type="dxa" w:w="1871"/>
            <w:shd w:val="clear" w:color="auto" w:fill="1F497D"/>
          </w:tcPr>
          <w:p>
            <w:r>
              <w:rPr>
                <w:b/>
                <w:color w:val="FFFFFF"/>
                <w:sz w:val="18"/>
              </w:rPr>
              <w:t>Pemeriksa</w:t>
            </w:r>
          </w:p>
        </w:tc>
        <w:tc>
          <w:tcPr>
            <w:tcW w:type="dxa" w:w="1871"/>
            <w:shd w:val="clear" w:color="auto" w:fill="1F497D"/>
          </w:tcPr>
          <w:p>
            <w:r>
              <w:rPr>
                <w:b/>
                <w:color w:val="FFFFFF"/>
                <w:sz w:val="18"/>
              </w:rPr>
              <w:t>Keterangan</w:t>
            </w:r>
          </w:p>
        </w:tc>
      </w:tr>
      <w:tr>
        <w:tc>
          <w:tcPr>
            <w:tcW w:type="dxa" w:w="1871"/>
            <w:shd w:val="clear" w:color="auto" w:fill="DEEAF1"/>
          </w:tcPr>
          <w:p>
            <w:r>
              <w:rPr>
                <w:sz w:val="18"/>
              </w:rPr>
              <w:t>1.0</w:t>
            </w:r>
          </w:p>
        </w:tc>
        <w:tc>
          <w:tcPr>
            <w:tcW w:type="dxa" w:w="1871"/>
            <w:shd w:val="clear" w:color="auto" w:fill="DEEAF1"/>
          </w:tcPr>
          <w:p>
            <w:r>
              <w:rPr>
                <w:sz w:val="18"/>
              </w:rPr>
              <w:t>Februari 2026</w:t>
            </w:r>
          </w:p>
        </w:tc>
        <w:tc>
          <w:tcPr>
            <w:tcW w:type="dxa" w:w="1871"/>
            <w:shd w:val="clear" w:color="auto" w:fill="DEEAF1"/>
          </w:tcPr>
          <w:p>
            <w:r>
              <w:rPr>
                <w:sz w:val="18"/>
              </w:rPr>
              <w:t>Tim IT Security / SOC Lead</w:t>
            </w:r>
          </w:p>
        </w:tc>
        <w:tc>
          <w:tcPr>
            <w:tcW w:type="dxa" w:w="1871"/>
            <w:shd w:val="clear" w:color="auto" w:fill="DEEAF1"/>
          </w:tcPr>
          <w:p>
            <w:r>
              <w:rPr>
                <w:sz w:val="18"/>
              </w:rPr>
              <w:t>CISO</w:t>
            </w:r>
          </w:p>
        </w:tc>
        <w:tc>
          <w:tcPr>
            <w:tcW w:type="dxa" w:w="1871"/>
            <w:shd w:val="clear" w:color="auto" w:fill="DEEAF1"/>
          </w:tcPr>
          <w:p>
            <w:r>
              <w:rPr>
                <w:sz w:val="18"/>
              </w:rPr>
              <w:t>Penerbitan Pertama</w:t>
            </w:r>
          </w:p>
        </w:tc>
      </w:tr>
    </w:tbl>
    <w:p/>
    <w:p>
      <w:pPr>
        <w:spacing w:before="200" w:after="120"/>
      </w:pPr>
      <w:r>
        <w:rPr>
          <w:b/>
          <w:color w:val="2E74B5"/>
          <w:sz w:val="24"/>
        </w:rPr>
        <w:t>Persetujuan</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Peran</w:t>
            </w:r>
          </w:p>
        </w:tc>
        <w:tc>
          <w:tcPr>
            <w:tcW w:type="dxa" w:w="2339"/>
            <w:shd w:val="clear" w:color="auto" w:fill="1F497D"/>
          </w:tcPr>
          <w:p>
            <w:r>
              <w:rPr>
                <w:b/>
                <w:color w:val="FFFFFF"/>
                <w:sz w:val="18"/>
              </w:rPr>
              <w:t>Nama/Jabatan</w:t>
            </w:r>
          </w:p>
        </w:tc>
        <w:tc>
          <w:tcPr>
            <w:tcW w:type="dxa" w:w="2339"/>
            <w:shd w:val="clear" w:color="auto" w:fill="1F497D"/>
          </w:tcPr>
          <w:p>
            <w:r>
              <w:rPr>
                <w:b/>
                <w:color w:val="FFFFFF"/>
                <w:sz w:val="18"/>
              </w:rPr>
              <w:t>Tanda Tangan</w:t>
            </w:r>
          </w:p>
        </w:tc>
        <w:tc>
          <w:tcPr>
            <w:tcW w:type="dxa" w:w="2339"/>
            <w:shd w:val="clear" w:color="auto" w:fill="1F497D"/>
          </w:tcPr>
          <w:p>
            <w:r>
              <w:rPr>
                <w:b/>
                <w:color w:val="FFFFFF"/>
                <w:sz w:val="18"/>
              </w:rPr>
              <w:t>Tanggal</w:t>
            </w:r>
          </w:p>
        </w:tc>
      </w:tr>
      <w:tr>
        <w:tc>
          <w:tcPr>
            <w:tcW w:type="dxa" w:w="2339"/>
            <w:shd w:val="clear" w:color="auto" w:fill="DEEAF1"/>
          </w:tcPr>
          <w:p>
            <w:r>
              <w:rPr>
                <w:sz w:val="18"/>
              </w:rPr>
              <w:t>Penyusun</w:t>
            </w:r>
          </w:p>
        </w:tc>
        <w:tc>
          <w:tcPr>
            <w:tcW w:type="dxa" w:w="2339"/>
            <w:shd w:val="clear" w:color="auto" w:fill="DEEAF1"/>
          </w:tcPr>
          <w:p>
            <w:r>
              <w:rPr>
                <w:sz w:val="18"/>
              </w:rPr>
              <w:t>Tim IT Security / SOC Lead</w:t>
            </w:r>
          </w:p>
        </w:tc>
        <w:tc>
          <w:tcPr>
            <w:tcW w:type="dxa" w:w="2339"/>
            <w:shd w:val="clear" w:color="auto" w:fill="DEEAF1"/>
          </w:tcPr>
          <w:p>
            <w:r>
              <w:rPr>
                <w:sz w:val="18"/>
              </w:rPr>
              <w:t>_______________</w:t>
            </w:r>
          </w:p>
        </w:tc>
        <w:tc>
          <w:tcPr>
            <w:tcW w:type="dxa" w:w="2339"/>
            <w:shd w:val="clear" w:color="auto" w:fill="DEEAF1"/>
          </w:tcPr>
          <w:p>
            <w:r>
              <w:rPr>
                <w:sz w:val="18"/>
              </w:rPr>
              <w:t>Februari 2026</w:t>
            </w:r>
          </w:p>
        </w:tc>
      </w:tr>
      <w:tr>
        <w:tc>
          <w:tcPr>
            <w:tcW w:type="dxa" w:w="2339"/>
            <w:shd w:val="clear" w:color="auto" w:fill="F2F7FB"/>
          </w:tcPr>
          <w:p>
            <w:r>
              <w:rPr>
                <w:sz w:val="18"/>
              </w:rPr>
              <w:t>Pemeriksa</w:t>
            </w:r>
          </w:p>
        </w:tc>
        <w:tc>
          <w:tcPr>
            <w:tcW w:type="dxa" w:w="2339"/>
            <w:shd w:val="clear" w:color="auto" w:fill="F2F7FB"/>
          </w:tcPr>
          <w:p>
            <w:r>
              <w:rPr>
                <w:sz w:val="18"/>
              </w:rPr>
              <w:t>CISO</w:t>
            </w:r>
          </w:p>
        </w:tc>
        <w:tc>
          <w:tcPr>
            <w:tcW w:type="dxa" w:w="2339"/>
            <w:shd w:val="clear" w:color="auto" w:fill="F2F7FB"/>
          </w:tcPr>
          <w:p>
            <w:r>
              <w:rPr>
                <w:sz w:val="18"/>
              </w:rPr>
              <w:t>_______________</w:t>
            </w:r>
          </w:p>
        </w:tc>
        <w:tc>
          <w:tcPr>
            <w:tcW w:type="dxa" w:w="2339"/>
            <w:shd w:val="clear" w:color="auto" w:fill="F2F7FB"/>
          </w:tcPr>
          <w:p>
            <w:r>
              <w:rPr>
                <w:sz w:val="18"/>
              </w:rPr>
              <w:t>Februari 2026</w:t>
            </w:r>
          </w:p>
        </w:tc>
      </w:tr>
      <w:tr>
        <w:tc>
          <w:tcPr>
            <w:tcW w:type="dxa" w:w="2339"/>
            <w:shd w:val="clear" w:color="auto" w:fill="DEEAF1"/>
          </w:tcPr>
          <w:p>
            <w:r>
              <w:rPr>
                <w:sz w:val="18"/>
              </w:rPr>
              <w:t>Menyetujui</w:t>
            </w:r>
          </w:p>
        </w:tc>
        <w:tc>
          <w:tcPr>
            <w:tcW w:type="dxa" w:w="2339"/>
            <w:shd w:val="clear" w:color="auto" w:fill="DEEAF1"/>
          </w:tcPr>
          <w:p>
            <w:r>
              <w:rPr>
                <w:sz w:val="18"/>
              </w:rPr>
              <w:t>Direktur Utama</w:t>
            </w:r>
          </w:p>
        </w:tc>
        <w:tc>
          <w:tcPr>
            <w:tcW w:type="dxa" w:w="2339"/>
            <w:shd w:val="clear" w:color="auto" w:fill="DEEAF1"/>
          </w:tcPr>
          <w:p>
            <w:r>
              <w:rPr>
                <w:sz w:val="18"/>
              </w:rPr>
              <w:t>_______________</w:t>
            </w:r>
          </w:p>
        </w:tc>
        <w:tc>
          <w:tcPr>
            <w:tcW w:type="dxa" w:w="2339"/>
            <w:shd w:val="clear" w:color="auto" w:fill="DEEAF1"/>
          </w:tcPr>
          <w:p>
            <w:r>
              <w:rPr>
                <w:sz w:val="18"/>
              </w:rPr>
              <w:t>Februari 2026</w:t>
            </w:r>
          </w:p>
        </w:tc>
      </w:tr>
    </w:tbl>
    <w:p>
      <w:r>
        <w:br w:type="page"/>
      </w:r>
    </w:p>
    <w:p>
      <w:pPr>
        <w:spacing w:before="280" w:after="120"/>
        <w:pBdr>
          <w:bottom w:val="single" w:sz="6" w:color="1F497D"/>
        </w:pBdr>
      </w:pPr>
      <w:r>
        <w:rPr>
          <w:b/>
          <w:color w:val="1F497D"/>
          <w:sz w:val="28"/>
        </w:rPr>
        <w:t>BAGIAN A — KEBIJAKAN PEMANTAUAN AKTIVITAS</w:t>
      </w:r>
    </w:p>
    <w:p>
      <w:pPr>
        <w:spacing w:before="200" w:after="120"/>
      </w:pPr>
      <w:r>
        <w:rPr>
          <w:b/>
          <w:color w:val="2E74B5"/>
          <w:sz w:val="24"/>
        </w:rPr>
        <w:t>1. Pendahuluan</w:t>
      </w:r>
    </w:p>
    <w:p>
      <w:pPr>
        <w:spacing w:before="40" w:after="80"/>
      </w:pPr>
      <w:r>
        <w:rPr>
          <w:sz w:val="22"/>
        </w:rPr>
        <w:t>Pemantauan aktivitas (activity monitoring) adalah proses berkelanjutan untuk mengumpulkan, mengkorelasikan, dan menganalisis data dari seluruh infrastruktur TI guna mendeteksi ancaman keamanan, pelanggaran kebijakan, dan anomali yang dapat mengindikasikan insiden keamanan informasi. Kebijakan ini menetapkan kerangka kerja pemantauan keamanan PT Equity Life Indonesia sesuai ISO/IEC 27001:2022 Klausul 8.15 (Logging) dan 8.16 (Monitoring Activities).</w:t>
      </w:r>
    </w:p>
    <w:p>
      <w:pPr>
        <w:spacing w:before="40" w:after="80"/>
      </w:pPr>
      <w:r>
        <w:rPr>
          <w:sz w:val="22"/>
        </w:rPr>
        <w:t>Seluruh aktivitas pemantauan dilaksanakan dengan memperhatikan keseimbangan antara kebutuhan keamanan informasi dan hak privasi karyawan sesuai ketentuan hukum yang berlaku.</w:t>
      </w:r>
    </w:p>
    <w:p>
      <w:pPr>
        <w:spacing w:before="200" w:after="120"/>
      </w:pPr>
      <w:r>
        <w:rPr>
          <w:b/>
          <w:color w:val="2E74B5"/>
          <w:sz w:val="24"/>
        </w:rPr>
        <w:t>2. Ruang Lingkup Pemantauan</w:t>
      </w:r>
    </w:p>
    <w:p>
      <w:pPr>
        <w:spacing w:before="40" w:after="80"/>
      </w:pPr>
      <w:r>
        <w:rPr>
          <w:sz w:val="22"/>
        </w:rPr>
        <w:t>PT Equity Life Indonesia melaksanakan pemantauan terhadap seluruh aset dan aktivitas berikut dalam lingkup ISMS:</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Kategori</w:t>
            </w:r>
          </w:p>
        </w:tc>
        <w:tc>
          <w:tcPr>
            <w:tcW w:type="dxa" w:w="2339"/>
            <w:shd w:val="clear" w:color="auto" w:fill="1F497D"/>
          </w:tcPr>
          <w:p>
            <w:r>
              <w:rPr>
                <w:b/>
                <w:color w:val="FFFFFF"/>
                <w:sz w:val="18"/>
              </w:rPr>
              <w:t>Yang Dipantau</w:t>
            </w:r>
          </w:p>
        </w:tc>
        <w:tc>
          <w:tcPr>
            <w:tcW w:type="dxa" w:w="2339"/>
            <w:shd w:val="clear" w:color="auto" w:fill="1F497D"/>
          </w:tcPr>
          <w:p>
            <w:r>
              <w:rPr>
                <w:b/>
                <w:color w:val="FFFFFF"/>
                <w:sz w:val="18"/>
              </w:rPr>
              <w:t>Tools</w:t>
            </w:r>
          </w:p>
        </w:tc>
        <w:tc>
          <w:tcPr>
            <w:tcW w:type="dxa" w:w="2339"/>
            <w:shd w:val="clear" w:color="auto" w:fill="1F497D"/>
          </w:tcPr>
          <w:p>
            <w:r>
              <w:rPr>
                <w:b/>
                <w:color w:val="FFFFFF"/>
                <w:sz w:val="18"/>
              </w:rPr>
              <w:t>Retensi Log</w:t>
            </w:r>
          </w:p>
        </w:tc>
      </w:tr>
      <w:tr>
        <w:tc>
          <w:tcPr>
            <w:tcW w:type="dxa" w:w="2339"/>
            <w:shd w:val="clear" w:color="auto" w:fill="DEEAF1"/>
          </w:tcPr>
          <w:p>
            <w:r>
              <w:rPr>
                <w:b/>
                <w:sz w:val="16"/>
              </w:rPr>
              <w:t>Jaringan (Network)</w:t>
            </w:r>
          </w:p>
        </w:tc>
        <w:tc>
          <w:tcPr>
            <w:tcW w:type="dxa" w:w="2339"/>
            <w:shd w:val="clear" w:color="auto" w:fill="DEEAF1"/>
          </w:tcPr>
          <w:p>
            <w:r>
              <w:rPr>
                <w:sz w:val="16"/>
              </w:rPr>
              <w:t>Traffic jaringan, koneksi inbound/outbound, DNS queries, anomali bandwidth, lateral movement</w:t>
            </w:r>
          </w:p>
        </w:tc>
        <w:tc>
          <w:tcPr>
            <w:tcW w:type="dxa" w:w="2339"/>
            <w:shd w:val="clear" w:color="auto" w:fill="DEEAF1"/>
          </w:tcPr>
          <w:p>
            <w:r>
              <w:rPr>
                <w:sz w:val="16"/>
              </w:rPr>
              <w:t>SIEM, IDS/IPS, NetFlow, NDR</w:t>
            </w:r>
          </w:p>
        </w:tc>
        <w:tc>
          <w:tcPr>
            <w:tcW w:type="dxa" w:w="2339"/>
            <w:shd w:val="clear" w:color="auto" w:fill="DEEAF1"/>
          </w:tcPr>
          <w:p>
            <w:r>
              <w:rPr>
                <w:sz w:val="16"/>
              </w:rPr>
              <w:t>1 tahun</w:t>
            </w:r>
          </w:p>
        </w:tc>
      </w:tr>
      <w:tr>
        <w:tc>
          <w:tcPr>
            <w:tcW w:type="dxa" w:w="2339"/>
            <w:shd w:val="clear" w:color="auto" w:fill="F2F7FB"/>
          </w:tcPr>
          <w:p>
            <w:r>
              <w:rPr>
                <w:b/>
                <w:sz w:val="16"/>
              </w:rPr>
              <w:t>Endpoint</w:t>
            </w:r>
          </w:p>
        </w:tc>
        <w:tc>
          <w:tcPr>
            <w:tcW w:type="dxa" w:w="2339"/>
            <w:shd w:val="clear" w:color="auto" w:fill="F2F7FB"/>
          </w:tcPr>
          <w:p>
            <w:r>
              <w:rPr>
                <w:sz w:val="16"/>
              </w:rPr>
              <w:t>Proses berjalan, perubahan file sistem kritis, registry changes, koneksi jaringan dari endpoint, pemasangan USB</w:t>
            </w:r>
          </w:p>
        </w:tc>
        <w:tc>
          <w:tcPr>
            <w:tcW w:type="dxa" w:w="2339"/>
            <w:shd w:val="clear" w:color="auto" w:fill="F2F7FB"/>
          </w:tcPr>
          <w:p>
            <w:r>
              <w:rPr>
                <w:sz w:val="16"/>
              </w:rPr>
              <w:t>EDR/XDR, Windows Event Log, Sysmon</w:t>
            </w:r>
          </w:p>
        </w:tc>
        <w:tc>
          <w:tcPr>
            <w:tcW w:type="dxa" w:w="2339"/>
            <w:shd w:val="clear" w:color="auto" w:fill="F2F7FB"/>
          </w:tcPr>
          <w:p>
            <w:r>
              <w:rPr>
                <w:sz w:val="16"/>
              </w:rPr>
              <w:t>1 tahun</w:t>
            </w:r>
          </w:p>
        </w:tc>
      </w:tr>
      <w:tr>
        <w:tc>
          <w:tcPr>
            <w:tcW w:type="dxa" w:w="2339"/>
            <w:shd w:val="clear" w:color="auto" w:fill="DEEAF1"/>
          </w:tcPr>
          <w:p>
            <w:r>
              <w:rPr>
                <w:b/>
                <w:sz w:val="16"/>
              </w:rPr>
              <w:t>Aplikasi</w:t>
            </w:r>
          </w:p>
        </w:tc>
        <w:tc>
          <w:tcPr>
            <w:tcW w:type="dxa" w:w="2339"/>
            <w:shd w:val="clear" w:color="auto" w:fill="DEEAF1"/>
          </w:tcPr>
          <w:p>
            <w:r>
              <w:rPr>
                <w:sz w:val="16"/>
              </w:rPr>
              <w:t>Login/logout, transaksi kritis (polis, klaim, pembayaran), perubahan konfigurasi aplikasi, error kritis</w:t>
            </w:r>
          </w:p>
        </w:tc>
        <w:tc>
          <w:tcPr>
            <w:tcW w:type="dxa" w:w="2339"/>
            <w:shd w:val="clear" w:color="auto" w:fill="DEEAF1"/>
          </w:tcPr>
          <w:p>
            <w:r>
              <w:rPr>
                <w:sz w:val="16"/>
              </w:rPr>
              <w:t>Application log, WAF log, SIEM</w:t>
            </w:r>
          </w:p>
        </w:tc>
        <w:tc>
          <w:tcPr>
            <w:tcW w:type="dxa" w:w="2339"/>
            <w:shd w:val="clear" w:color="auto" w:fill="DEEAF1"/>
          </w:tcPr>
          <w:p>
            <w:r>
              <w:rPr>
                <w:sz w:val="16"/>
              </w:rPr>
              <w:t>5 tahun</w:t>
            </w:r>
          </w:p>
        </w:tc>
      </w:tr>
      <w:tr>
        <w:tc>
          <w:tcPr>
            <w:tcW w:type="dxa" w:w="2339"/>
            <w:shd w:val="clear" w:color="auto" w:fill="F2F7FB"/>
          </w:tcPr>
          <w:p>
            <w:r>
              <w:rPr>
                <w:b/>
                <w:sz w:val="16"/>
              </w:rPr>
              <w:t>Database</w:t>
            </w:r>
          </w:p>
        </w:tc>
        <w:tc>
          <w:tcPr>
            <w:tcW w:type="dxa" w:w="2339"/>
            <w:shd w:val="clear" w:color="auto" w:fill="F2F7FB"/>
          </w:tcPr>
          <w:p>
            <w:r>
              <w:rPr>
                <w:sz w:val="16"/>
              </w:rPr>
              <w:t>Query SQL pada tabel sensitif (data nasabah, klaim, keuangan), akses DBA, perubahan skema, bulk export</w:t>
            </w:r>
          </w:p>
        </w:tc>
        <w:tc>
          <w:tcPr>
            <w:tcW w:type="dxa" w:w="2339"/>
            <w:shd w:val="clear" w:color="auto" w:fill="F2F7FB"/>
          </w:tcPr>
          <w:p>
            <w:r>
              <w:rPr>
                <w:sz w:val="16"/>
              </w:rPr>
              <w:t>DAM (Database Activity Monitor)</w:t>
            </w:r>
          </w:p>
        </w:tc>
        <w:tc>
          <w:tcPr>
            <w:tcW w:type="dxa" w:w="2339"/>
            <w:shd w:val="clear" w:color="auto" w:fill="F2F7FB"/>
          </w:tcPr>
          <w:p>
            <w:r>
              <w:rPr>
                <w:sz w:val="16"/>
              </w:rPr>
              <w:t>5 tahun</w:t>
            </w:r>
          </w:p>
        </w:tc>
      </w:tr>
      <w:tr>
        <w:tc>
          <w:tcPr>
            <w:tcW w:type="dxa" w:w="2339"/>
            <w:shd w:val="clear" w:color="auto" w:fill="DEEAF1"/>
          </w:tcPr>
          <w:p>
            <w:r>
              <w:rPr>
                <w:b/>
                <w:sz w:val="16"/>
              </w:rPr>
              <w:t>Identitas &amp; Akses</w:t>
            </w:r>
          </w:p>
        </w:tc>
        <w:tc>
          <w:tcPr>
            <w:tcW w:type="dxa" w:w="2339"/>
            <w:shd w:val="clear" w:color="auto" w:fill="DEEAF1"/>
          </w:tcPr>
          <w:p>
            <w:r>
              <w:rPr>
                <w:sz w:val="16"/>
              </w:rPr>
              <w:t>Login berhasil/gagal, perubahan password, pemberian/pencabutan hak akses, penggunaan akun privileged, MFA bypass attempt</w:t>
            </w:r>
          </w:p>
        </w:tc>
        <w:tc>
          <w:tcPr>
            <w:tcW w:type="dxa" w:w="2339"/>
            <w:shd w:val="clear" w:color="auto" w:fill="DEEAF1"/>
          </w:tcPr>
          <w:p>
            <w:r>
              <w:rPr>
                <w:sz w:val="16"/>
              </w:rPr>
              <w:t>IAM log, AD audit, SIEM, PAM</w:t>
            </w:r>
          </w:p>
        </w:tc>
        <w:tc>
          <w:tcPr>
            <w:tcW w:type="dxa" w:w="2339"/>
            <w:shd w:val="clear" w:color="auto" w:fill="DEEAF1"/>
          </w:tcPr>
          <w:p>
            <w:r>
              <w:rPr>
                <w:sz w:val="16"/>
              </w:rPr>
              <w:t>3 tahun</w:t>
            </w:r>
          </w:p>
        </w:tc>
      </w:tr>
      <w:tr>
        <w:tc>
          <w:tcPr>
            <w:tcW w:type="dxa" w:w="2339"/>
            <w:shd w:val="clear" w:color="auto" w:fill="F2F7FB"/>
          </w:tcPr>
          <w:p>
            <w:r>
              <w:rPr>
                <w:b/>
                <w:sz w:val="16"/>
              </w:rPr>
              <w:t>Email &amp; Komunikasi</w:t>
            </w:r>
          </w:p>
        </w:tc>
        <w:tc>
          <w:tcPr>
            <w:tcW w:type="dxa" w:w="2339"/>
            <w:shd w:val="clear" w:color="auto" w:fill="F2F7FB"/>
          </w:tcPr>
          <w:p>
            <w:r>
              <w:rPr>
                <w:sz w:val="16"/>
              </w:rPr>
              <w:t>Attachment berbahaya, phishing detected, email ke domain mencurigakan, email besar ke eksternal</w:t>
            </w:r>
          </w:p>
        </w:tc>
        <w:tc>
          <w:tcPr>
            <w:tcW w:type="dxa" w:w="2339"/>
            <w:shd w:val="clear" w:color="auto" w:fill="F2F7FB"/>
          </w:tcPr>
          <w:p>
            <w:r>
              <w:rPr>
                <w:sz w:val="16"/>
              </w:rPr>
              <w:t>Email security gateway, SIEM</w:t>
            </w:r>
          </w:p>
        </w:tc>
        <w:tc>
          <w:tcPr>
            <w:tcW w:type="dxa" w:w="2339"/>
            <w:shd w:val="clear" w:color="auto" w:fill="F2F7FB"/>
          </w:tcPr>
          <w:p>
            <w:r>
              <w:rPr>
                <w:sz w:val="16"/>
              </w:rPr>
              <w:t>1 tahun</w:t>
            </w:r>
          </w:p>
        </w:tc>
      </w:tr>
      <w:tr>
        <w:tc>
          <w:tcPr>
            <w:tcW w:type="dxa" w:w="2339"/>
            <w:shd w:val="clear" w:color="auto" w:fill="DEEAF1"/>
          </w:tcPr>
          <w:p>
            <w:r>
              <w:rPr>
                <w:b/>
                <w:sz w:val="16"/>
              </w:rPr>
              <w:t>Cloud &amp; SaaS</w:t>
            </w:r>
          </w:p>
        </w:tc>
        <w:tc>
          <w:tcPr>
            <w:tcW w:type="dxa" w:w="2339"/>
            <w:shd w:val="clear" w:color="auto" w:fill="DEEAF1"/>
          </w:tcPr>
          <w:p>
            <w:r>
              <w:rPr>
                <w:sz w:val="16"/>
              </w:rPr>
              <w:t>Akses ke cloud resource, perubahan konfigurasi cloud, data export dari SaaS, API calls mencurigakan</w:t>
            </w:r>
          </w:p>
        </w:tc>
        <w:tc>
          <w:tcPr>
            <w:tcW w:type="dxa" w:w="2339"/>
            <w:shd w:val="clear" w:color="auto" w:fill="DEEAF1"/>
          </w:tcPr>
          <w:p>
            <w:r>
              <w:rPr>
                <w:sz w:val="16"/>
              </w:rPr>
              <w:t>CASB, CSPM, cloud-native logs</w:t>
            </w:r>
          </w:p>
        </w:tc>
        <w:tc>
          <w:tcPr>
            <w:tcW w:type="dxa" w:w="2339"/>
            <w:shd w:val="clear" w:color="auto" w:fill="DEEAF1"/>
          </w:tcPr>
          <w:p>
            <w:r>
              <w:rPr>
                <w:sz w:val="16"/>
              </w:rPr>
              <w:t>1 tahun</w:t>
            </w:r>
          </w:p>
        </w:tc>
      </w:tr>
      <w:tr>
        <w:tc>
          <w:tcPr>
            <w:tcW w:type="dxa" w:w="2339"/>
            <w:shd w:val="clear" w:color="auto" w:fill="F2F7FB"/>
          </w:tcPr>
          <w:p>
            <w:r>
              <w:rPr>
                <w:b/>
                <w:sz w:val="16"/>
              </w:rPr>
              <w:t>Keamanan Fisik</w:t>
            </w:r>
          </w:p>
        </w:tc>
        <w:tc>
          <w:tcPr>
            <w:tcW w:type="dxa" w:w="2339"/>
            <w:shd w:val="clear" w:color="auto" w:fill="F2F7FB"/>
          </w:tcPr>
          <w:p>
            <w:r>
              <w:rPr>
                <w:sz w:val="16"/>
              </w:rPr>
              <w:t>Akses masuk/keluar ke area kritis, CCTV, akses di luar jam kerja ke data center</w:t>
            </w:r>
          </w:p>
        </w:tc>
        <w:tc>
          <w:tcPr>
            <w:tcW w:type="dxa" w:w="2339"/>
            <w:shd w:val="clear" w:color="auto" w:fill="F2F7FB"/>
          </w:tcPr>
          <w:p>
            <w:r>
              <w:rPr>
                <w:sz w:val="16"/>
              </w:rPr>
              <w:t>Access control system, CCTV log</w:t>
            </w:r>
          </w:p>
        </w:tc>
        <w:tc>
          <w:tcPr>
            <w:tcW w:type="dxa" w:w="2339"/>
            <w:shd w:val="clear" w:color="auto" w:fill="F2F7FB"/>
          </w:tcPr>
          <w:p>
            <w:r>
              <w:rPr>
                <w:sz w:val="16"/>
              </w:rPr>
              <w:t>90 hari</w:t>
            </w:r>
          </w:p>
        </w:tc>
      </w:tr>
      <w:tr>
        <w:tc>
          <w:tcPr>
            <w:tcW w:type="dxa" w:w="2339"/>
            <w:shd w:val="clear" w:color="auto" w:fill="DEEAF1"/>
          </w:tcPr>
          <w:p>
            <w:r>
              <w:rPr>
                <w:b/>
                <w:sz w:val="16"/>
              </w:rPr>
              <w:t>Akses Privileged</w:t>
            </w:r>
          </w:p>
        </w:tc>
        <w:tc>
          <w:tcPr>
            <w:tcW w:type="dxa" w:w="2339"/>
            <w:shd w:val="clear" w:color="auto" w:fill="DEEAF1"/>
          </w:tcPr>
          <w:p>
            <w:r>
              <w:rPr>
                <w:sz w:val="16"/>
              </w:rPr>
              <w:t>Semua sesi administrator: perintah yang dijalankan, file yang diakses/diubah, perubahan konfigurasi sistem</w:t>
            </w:r>
          </w:p>
        </w:tc>
        <w:tc>
          <w:tcPr>
            <w:tcW w:type="dxa" w:w="2339"/>
            <w:shd w:val="clear" w:color="auto" w:fill="DEEAF1"/>
          </w:tcPr>
          <w:p>
            <w:r>
              <w:rPr>
                <w:sz w:val="16"/>
              </w:rPr>
              <w:t>PAM (session recording), SIEM</w:t>
            </w:r>
          </w:p>
        </w:tc>
        <w:tc>
          <w:tcPr>
            <w:tcW w:type="dxa" w:w="2339"/>
            <w:shd w:val="clear" w:color="auto" w:fill="DEEAF1"/>
          </w:tcPr>
          <w:p>
            <w:r>
              <w:rPr>
                <w:sz w:val="16"/>
              </w:rPr>
              <w:t>3 tahun</w:t>
            </w:r>
          </w:p>
        </w:tc>
      </w:tr>
    </w:tbl>
    <w:p/>
    <w:p>
      <w:pPr>
        <w:spacing w:before="200" w:after="120"/>
      </w:pPr>
      <w:r>
        <w:rPr>
          <w:b/>
          <w:color w:val="2E74B5"/>
          <w:sz w:val="24"/>
        </w:rPr>
        <w:t>3. Standar Log Management</w:t>
      </w:r>
    </w:p>
    <w:p>
      <w:pPr>
        <w:spacing w:before="140" w:after="120"/>
      </w:pPr>
      <w:r>
        <w:rPr>
          <w:b/>
          <w:color w:val="404040"/>
          <w:sz w:val="22"/>
        </w:rPr>
        <w:t>3.1 Persyaratan Log Minimum</w:t>
      </w:r>
    </w:p>
    <w:p>
      <w:pPr>
        <w:spacing w:before="40" w:after="80"/>
      </w:pPr>
      <w:r>
        <w:rPr>
          <w:sz w:val="22"/>
        </w:rPr>
        <w:t>Setiap event yang dicatat wajib mengandung elemen berikut untuk memastikan investigasi yang efektif:</w:t>
      </w:r>
    </w:p>
    <w:tbl>
      <w:tblPr>
        <w:tblStyle w:val="TableGrid"/>
        <w:tblW w:type="auto" w:w="0"/>
        <w:tblLook w:firstColumn="1" w:firstRow="1" w:lastColumn="0" w:lastRow="0" w:noHBand="0" w:noVBand="1" w:val="04A0"/>
      </w:tblPr>
      <w:tblGrid>
        <w:gridCol w:w="4677"/>
        <w:gridCol w:w="4677"/>
      </w:tblGrid>
      <w:tr>
        <w:tc>
          <w:tcPr>
            <w:tcW w:type="dxa" w:w="4677"/>
            <w:shd w:val="clear" w:color="auto" w:fill="1F497D"/>
          </w:tcPr>
          <w:p>
            <w:r>
              <w:rPr>
                <w:b/>
                <w:color w:val="FFFFFF"/>
                <w:sz w:val="18"/>
              </w:rPr>
              <w:t>Field Log</w:t>
            </w:r>
          </w:p>
        </w:tc>
        <w:tc>
          <w:tcPr>
            <w:tcW w:type="dxa" w:w="4677"/>
            <w:shd w:val="clear" w:color="auto" w:fill="1F497D"/>
          </w:tcPr>
          <w:p>
            <w:r>
              <w:rPr>
                <w:b/>
                <w:color w:val="FFFFFF"/>
                <w:sz w:val="18"/>
              </w:rPr>
              <w:t>Deskripsi &amp; Standar</w:t>
            </w:r>
          </w:p>
        </w:tc>
      </w:tr>
      <w:tr>
        <w:tc>
          <w:tcPr>
            <w:tcW w:type="dxa" w:w="4677"/>
            <w:shd w:val="clear" w:color="auto" w:fill="DEEAF1"/>
          </w:tcPr>
          <w:p>
            <w:r>
              <w:rPr>
                <w:sz w:val="18"/>
              </w:rPr>
              <w:t>Timestamp</w:t>
            </w:r>
          </w:p>
        </w:tc>
        <w:tc>
          <w:tcPr>
            <w:tcW w:type="dxa" w:w="4677"/>
            <w:shd w:val="clear" w:color="auto" w:fill="DEEAF1"/>
          </w:tcPr>
          <w:p>
            <w:r>
              <w:rPr>
                <w:sz w:val="18"/>
              </w:rPr>
              <w:t>Waktu kejadian dengan akurasi detik, dalam format ISO 8601 (YYYY-MM-DDThh:mm:ss+07:00), sinkronisasi NTP wajib</w:t>
            </w:r>
          </w:p>
        </w:tc>
      </w:tr>
      <w:tr>
        <w:tc>
          <w:tcPr>
            <w:tcW w:type="dxa" w:w="4677"/>
            <w:shd w:val="clear" w:color="auto" w:fill="F2F7FB"/>
          </w:tcPr>
          <w:p>
            <w:r>
              <w:rPr>
                <w:sz w:val="18"/>
              </w:rPr>
              <w:t>User Identity</w:t>
            </w:r>
          </w:p>
        </w:tc>
        <w:tc>
          <w:tcPr>
            <w:tcW w:type="dxa" w:w="4677"/>
            <w:shd w:val="clear" w:color="auto" w:fill="F2F7FB"/>
          </w:tcPr>
          <w:p>
            <w:r>
              <w:rPr>
                <w:sz w:val="18"/>
              </w:rPr>
              <w:t>Username, user ID, dan jika tersedia: nama lengkap, departemen, jabatan</w:t>
            </w:r>
          </w:p>
        </w:tc>
      </w:tr>
      <w:tr>
        <w:tc>
          <w:tcPr>
            <w:tcW w:type="dxa" w:w="4677"/>
            <w:shd w:val="clear" w:color="auto" w:fill="DEEAF1"/>
          </w:tcPr>
          <w:p>
            <w:r>
              <w:rPr>
                <w:sz w:val="18"/>
              </w:rPr>
              <w:t>Source IP &amp; Hostname</w:t>
            </w:r>
          </w:p>
        </w:tc>
        <w:tc>
          <w:tcPr>
            <w:tcW w:type="dxa" w:w="4677"/>
            <w:shd w:val="clear" w:color="auto" w:fill="DEEAF1"/>
          </w:tcPr>
          <w:p>
            <w:r>
              <w:rPr>
                <w:sz w:val="18"/>
              </w:rPr>
              <w:t>IP address asal, hostname perangkat, MAC address jika tersedia</w:t>
            </w:r>
          </w:p>
        </w:tc>
      </w:tr>
      <w:tr>
        <w:tc>
          <w:tcPr>
            <w:tcW w:type="dxa" w:w="4677"/>
            <w:shd w:val="clear" w:color="auto" w:fill="F2F7FB"/>
          </w:tcPr>
          <w:p>
            <w:r>
              <w:rPr>
                <w:sz w:val="18"/>
              </w:rPr>
              <w:t>Event Type &amp; ID</w:t>
            </w:r>
          </w:p>
        </w:tc>
        <w:tc>
          <w:tcPr>
            <w:tcW w:type="dxa" w:w="4677"/>
            <w:shd w:val="clear" w:color="auto" w:fill="F2F7FB"/>
          </w:tcPr>
          <w:p>
            <w:r>
              <w:rPr>
                <w:sz w:val="18"/>
              </w:rPr>
              <w:t>Kategori event (login, access, change, error), kode event standar</w:t>
            </w:r>
          </w:p>
        </w:tc>
      </w:tr>
      <w:tr>
        <w:tc>
          <w:tcPr>
            <w:tcW w:type="dxa" w:w="4677"/>
            <w:shd w:val="clear" w:color="auto" w:fill="DEEAF1"/>
          </w:tcPr>
          <w:p>
            <w:r>
              <w:rPr>
                <w:sz w:val="18"/>
              </w:rPr>
              <w:t>Action &amp; Result</w:t>
            </w:r>
          </w:p>
        </w:tc>
        <w:tc>
          <w:tcPr>
            <w:tcW w:type="dxa" w:w="4677"/>
            <w:shd w:val="clear" w:color="auto" w:fill="DEEAF1"/>
          </w:tcPr>
          <w:p>
            <w:r>
              <w:rPr>
                <w:sz w:val="18"/>
              </w:rPr>
              <w:t>Tindakan yang dilakukan (login/logout/read/write/delete) dan hasilnya (sukses/gagal)</w:t>
            </w:r>
          </w:p>
        </w:tc>
      </w:tr>
      <w:tr>
        <w:tc>
          <w:tcPr>
            <w:tcW w:type="dxa" w:w="4677"/>
            <w:shd w:val="clear" w:color="auto" w:fill="F2F7FB"/>
          </w:tcPr>
          <w:p>
            <w:r>
              <w:rPr>
                <w:sz w:val="18"/>
              </w:rPr>
              <w:t>Resource Accessed</w:t>
            </w:r>
          </w:p>
        </w:tc>
        <w:tc>
          <w:tcPr>
            <w:tcW w:type="dxa" w:w="4677"/>
            <w:shd w:val="clear" w:color="auto" w:fill="F2F7FB"/>
          </w:tcPr>
          <w:p>
            <w:r>
              <w:rPr>
                <w:sz w:val="18"/>
              </w:rPr>
              <w:t>Sistem, aplikasi, file, database, atau data yang diakses/dimodifikasi</w:t>
            </w:r>
          </w:p>
        </w:tc>
      </w:tr>
      <w:tr>
        <w:tc>
          <w:tcPr>
            <w:tcW w:type="dxa" w:w="4677"/>
            <w:shd w:val="clear" w:color="auto" w:fill="DEEAF1"/>
          </w:tcPr>
          <w:p>
            <w:r>
              <w:rPr>
                <w:sz w:val="18"/>
              </w:rPr>
              <w:t>Session ID</w:t>
            </w:r>
          </w:p>
        </w:tc>
        <w:tc>
          <w:tcPr>
            <w:tcW w:type="dxa" w:w="4677"/>
            <w:shd w:val="clear" w:color="auto" w:fill="DEEAF1"/>
          </w:tcPr>
          <w:p>
            <w:r>
              <w:rPr>
                <w:sz w:val="18"/>
              </w:rPr>
              <w:t>Identifier sesi unik untuk mengkorelasikan serangkaian aktivitas</w:t>
            </w:r>
          </w:p>
        </w:tc>
      </w:tr>
      <w:tr>
        <w:tc>
          <w:tcPr>
            <w:tcW w:type="dxa" w:w="4677"/>
            <w:shd w:val="clear" w:color="auto" w:fill="F2F7FB"/>
          </w:tcPr>
          <w:p>
            <w:r>
              <w:rPr>
                <w:sz w:val="18"/>
              </w:rPr>
              <w:t>Additional Context</w:t>
            </w:r>
          </w:p>
        </w:tc>
        <w:tc>
          <w:tcPr>
            <w:tcW w:type="dxa" w:w="4677"/>
            <w:shd w:val="clear" w:color="auto" w:fill="F2F7FB"/>
          </w:tcPr>
          <w:p>
            <w:r>
              <w:rPr>
                <w:sz w:val="18"/>
              </w:rPr>
              <w:t>Detail tambahan yang relevan (jumlah record diakses, perubahan nilai, dsb.)</w:t>
            </w:r>
          </w:p>
        </w:tc>
      </w:tr>
    </w:tbl>
    <w:p/>
    <w:p>
      <w:pPr>
        <w:spacing w:before="140" w:after="120"/>
      </w:pPr>
      <w:r>
        <w:rPr>
          <w:b/>
          <w:color w:val="404040"/>
          <w:sz w:val="22"/>
        </w:rPr>
        <w:t>3.2 Perlindungan Integritas Log</w:t>
      </w:r>
    </w:p>
    <w:p>
      <w:pPr>
        <w:pStyle w:val="ListBullet"/>
        <w:spacing w:before="40" w:after="40"/>
        <w:ind w:left="567"/>
      </w:pPr>
      <w:r>
        <w:rPr>
          <w:sz w:val="22"/>
        </w:rPr>
        <w:t>Log harus dikirimkan ke SIEM terpusat secara real-time; tidak boleh hanya disimpan lokal.</w:t>
      </w:r>
    </w:p>
    <w:p>
      <w:pPr>
        <w:pStyle w:val="ListBullet"/>
        <w:spacing w:before="40" w:after="40"/>
        <w:ind w:left="567"/>
      </w:pPr>
      <w:r>
        <w:rPr>
          <w:sz w:val="22"/>
        </w:rPr>
        <w:t>Akses write ke log hanya diizinkan untuk sistem yang menghasilkan log; tidak ada manusia yang dapat memodifikasi log.</w:t>
      </w:r>
    </w:p>
    <w:p>
      <w:pPr>
        <w:pStyle w:val="ListBullet"/>
        <w:spacing w:before="40" w:after="40"/>
        <w:ind w:left="567"/>
      </w:pPr>
      <w:r>
        <w:rPr>
          <w:sz w:val="22"/>
        </w:rPr>
        <w:t>Log dilindungi dengan hash kriptografi (SHA-256) untuk mendeteksi modifikasi.</w:t>
      </w:r>
    </w:p>
    <w:p>
      <w:pPr>
        <w:pStyle w:val="ListBullet"/>
        <w:spacing w:before="40" w:after="40"/>
        <w:ind w:left="567"/>
      </w:pPr>
      <w:r>
        <w:rPr>
          <w:sz w:val="22"/>
        </w:rPr>
        <w:t>Log backup disimpan terpisah dari sistem produksi; dienkripsi AES-256.</w:t>
      </w:r>
    </w:p>
    <w:p>
      <w:pPr>
        <w:pStyle w:val="ListBullet"/>
        <w:spacing w:before="40" w:after="40"/>
        <w:ind w:left="567"/>
      </w:pPr>
      <w:r>
        <w:rPr>
          <w:sz w:val="22"/>
        </w:rPr>
        <w:t>Peringatan otomatis dikirimkan jika log tiba-tiba berhenti diterima dari sumber manapun (log gap detection).</w:t>
      </w:r>
    </w:p>
    <w:p>
      <w:pPr>
        <w:pStyle w:val="ListBullet"/>
        <w:spacing w:before="40" w:after="40"/>
        <w:ind w:left="567"/>
      </w:pPr>
      <w:r>
        <w:rPr>
          <w:sz w:val="22"/>
        </w:rPr>
        <w:t>Akses ke raw log dibatasi hanya untuk SOC dan CISO; audit trail tersimpan untuk setiap akses.</w:t>
      </w:r>
    </w:p>
    <w:p/>
    <w:p>
      <w:pPr>
        <w:spacing w:before="200" w:after="120"/>
      </w:pPr>
      <w:r>
        <w:rPr>
          <w:b/>
          <w:color w:val="2E74B5"/>
          <w:sz w:val="24"/>
        </w:rPr>
        <w:t>4. Arsitektur SIEM dan Monitoring</w:t>
      </w:r>
    </w:p>
    <w:p>
      <w:pPr>
        <w:spacing w:before="40" w:after="80"/>
      </w:pPr>
      <w:r>
        <w:rPr>
          <w:sz w:val="22"/>
        </w:rPr>
        <w:t>PT Equity Life Indonesia menggunakan arsitektur monitoring berlapis dengan SIEM sebagai pusat korelasi:</w:t>
      </w:r>
    </w:p>
    <w:tbl>
      <w:tblPr>
        <w:tblStyle w:val="TableGrid"/>
        <w:tblW w:type="auto" w:w="0"/>
        <w:tblLook w:firstColumn="1" w:firstRow="1" w:lastColumn="0" w:lastRow="0" w:noHBand="0" w:noVBand="1" w:val="04A0"/>
      </w:tblPr>
      <w:tblGrid>
        <w:gridCol w:w="3118"/>
        <w:gridCol w:w="3118"/>
        <w:gridCol w:w="3118"/>
      </w:tblGrid>
      <w:tr>
        <w:tc>
          <w:tcPr>
            <w:tcW w:type="dxa" w:w="3118"/>
            <w:shd w:val="clear" w:color="auto" w:fill="1F497D"/>
          </w:tcPr>
          <w:p>
            <w:r>
              <w:rPr>
                <w:b/>
                <w:color w:val="FFFFFF"/>
                <w:sz w:val="18"/>
              </w:rPr>
              <w:t>Komponen</w:t>
            </w:r>
          </w:p>
        </w:tc>
        <w:tc>
          <w:tcPr>
            <w:tcW w:type="dxa" w:w="3118"/>
            <w:shd w:val="clear" w:color="auto" w:fill="1F497D"/>
          </w:tcPr>
          <w:p>
            <w:r>
              <w:rPr>
                <w:b/>
                <w:color w:val="FFFFFF"/>
                <w:sz w:val="18"/>
              </w:rPr>
              <w:t>Fungsi</w:t>
            </w:r>
          </w:p>
        </w:tc>
        <w:tc>
          <w:tcPr>
            <w:tcW w:type="dxa" w:w="3118"/>
            <w:shd w:val="clear" w:color="auto" w:fill="1F497D"/>
          </w:tcPr>
          <w:p>
            <w:r>
              <w:rPr>
                <w:b/>
                <w:color w:val="FFFFFF"/>
                <w:sz w:val="18"/>
              </w:rPr>
              <w:t>Implementasi di Equity Life</w:t>
            </w:r>
          </w:p>
        </w:tc>
      </w:tr>
      <w:tr>
        <w:tc>
          <w:tcPr>
            <w:tcW w:type="dxa" w:w="3118"/>
            <w:shd w:val="clear" w:color="auto" w:fill="DEEAF1"/>
          </w:tcPr>
          <w:p>
            <w:r>
              <w:rPr>
                <w:b/>
                <w:color w:val="1F497D"/>
                <w:sz w:val="18"/>
              </w:rPr>
              <w:t>SIEM (Security Information &amp; Event Management)</w:t>
            </w:r>
          </w:p>
        </w:tc>
        <w:tc>
          <w:tcPr>
            <w:tcW w:type="dxa" w:w="3118"/>
            <w:shd w:val="clear" w:color="auto" w:fill="DEEAF1"/>
          </w:tcPr>
          <w:p>
            <w:r>
              <w:rPr>
                <w:sz w:val="18"/>
              </w:rPr>
              <w:t>Pengumpulan log terpusat, korelasi event, alerting, dashboard keamanan, compliance reporting</w:t>
            </w:r>
          </w:p>
        </w:tc>
        <w:tc>
          <w:tcPr>
            <w:tcW w:type="dxa" w:w="3118"/>
            <w:shd w:val="clear" w:color="auto" w:fill="DEEAF1"/>
          </w:tcPr>
          <w:p>
            <w:r>
              <w:rPr>
                <w:sz w:val="18"/>
              </w:rPr>
              <w:t>Platform: [Splunk / IBM QRadar / Microsoft Sentinel] - evaluasi vendor Q1 2026</w:t>
            </w:r>
          </w:p>
        </w:tc>
      </w:tr>
      <w:tr>
        <w:tc>
          <w:tcPr>
            <w:tcW w:type="dxa" w:w="3118"/>
            <w:shd w:val="clear" w:color="auto" w:fill="F2F7FB"/>
          </w:tcPr>
          <w:p>
            <w:r>
              <w:rPr>
                <w:b/>
                <w:color w:val="1F497D"/>
                <w:sz w:val="18"/>
              </w:rPr>
              <w:t>EDR/XDR (Endpoint Detection &amp; Response)</w:t>
            </w:r>
          </w:p>
        </w:tc>
        <w:tc>
          <w:tcPr>
            <w:tcW w:type="dxa" w:w="3118"/>
            <w:shd w:val="clear" w:color="auto" w:fill="F2F7FB"/>
          </w:tcPr>
          <w:p>
            <w:r>
              <w:rPr>
                <w:sz w:val="18"/>
              </w:rPr>
              <w:t>Monitoring endpoint real-time, behavioral analysis, automated response, forensic data collection</w:t>
            </w:r>
          </w:p>
        </w:tc>
        <w:tc>
          <w:tcPr>
            <w:tcW w:type="dxa" w:w="3118"/>
            <w:shd w:val="clear" w:color="auto" w:fill="F2F7FB"/>
          </w:tcPr>
          <w:p>
            <w:r>
              <w:rPr>
                <w:sz w:val="18"/>
              </w:rPr>
              <w:t>Diterapkan di seluruh endpoint Windows/macOS/Linux</w:t>
            </w:r>
          </w:p>
        </w:tc>
      </w:tr>
      <w:tr>
        <w:tc>
          <w:tcPr>
            <w:tcW w:type="dxa" w:w="3118"/>
            <w:shd w:val="clear" w:color="auto" w:fill="DEEAF1"/>
          </w:tcPr>
          <w:p>
            <w:r>
              <w:rPr>
                <w:b/>
                <w:color w:val="1F497D"/>
                <w:sz w:val="18"/>
              </w:rPr>
              <w:t>IDS/IPS (Intrusion Detection/Prevention)</w:t>
            </w:r>
          </w:p>
        </w:tc>
        <w:tc>
          <w:tcPr>
            <w:tcW w:type="dxa" w:w="3118"/>
            <w:shd w:val="clear" w:color="auto" w:fill="DEEAF1"/>
          </w:tcPr>
          <w:p>
            <w:r>
              <w:rPr>
                <w:sz w:val="18"/>
              </w:rPr>
              <w:t>Deteksi dan pencegahan intrusi jaringan berbasis signature dan anomali</w:t>
            </w:r>
          </w:p>
        </w:tc>
        <w:tc>
          <w:tcPr>
            <w:tcW w:type="dxa" w:w="3118"/>
            <w:shd w:val="clear" w:color="auto" w:fill="DEEAF1"/>
          </w:tcPr>
          <w:p>
            <w:r>
              <w:rPr>
                <w:sz w:val="18"/>
              </w:rPr>
              <w:t>Network-based IDPS di perimeter dan internal segmen kritis</w:t>
            </w:r>
          </w:p>
        </w:tc>
      </w:tr>
      <w:tr>
        <w:tc>
          <w:tcPr>
            <w:tcW w:type="dxa" w:w="3118"/>
            <w:shd w:val="clear" w:color="auto" w:fill="F2F7FB"/>
          </w:tcPr>
          <w:p>
            <w:r>
              <w:rPr>
                <w:b/>
                <w:color w:val="1F497D"/>
                <w:sz w:val="18"/>
              </w:rPr>
              <w:t>DAM (Database Activity Monitor)</w:t>
            </w:r>
          </w:p>
        </w:tc>
        <w:tc>
          <w:tcPr>
            <w:tcW w:type="dxa" w:w="3118"/>
            <w:shd w:val="clear" w:color="auto" w:fill="F2F7FB"/>
          </w:tcPr>
          <w:p>
            <w:r>
              <w:rPr>
                <w:sz w:val="18"/>
              </w:rPr>
              <w:t>Monitoring query database, akses data sensitif, anomali database, compliance reporting</w:t>
            </w:r>
          </w:p>
        </w:tc>
        <w:tc>
          <w:tcPr>
            <w:tcW w:type="dxa" w:w="3118"/>
            <w:shd w:val="clear" w:color="auto" w:fill="F2F7FB"/>
          </w:tcPr>
          <w:p>
            <w:r>
              <w:rPr>
                <w:sz w:val="18"/>
              </w:rPr>
              <w:t>Diterapkan pada database produksi yang menyimpan data nasabah</w:t>
            </w:r>
          </w:p>
        </w:tc>
      </w:tr>
      <w:tr>
        <w:tc>
          <w:tcPr>
            <w:tcW w:type="dxa" w:w="3118"/>
            <w:shd w:val="clear" w:color="auto" w:fill="DEEAF1"/>
          </w:tcPr>
          <w:p>
            <w:r>
              <w:rPr>
                <w:b/>
                <w:color w:val="1F497D"/>
                <w:sz w:val="18"/>
              </w:rPr>
              <w:t>PAM (Privileged Access Management)</w:t>
            </w:r>
          </w:p>
        </w:tc>
        <w:tc>
          <w:tcPr>
            <w:tcW w:type="dxa" w:w="3118"/>
            <w:shd w:val="clear" w:color="auto" w:fill="DEEAF1"/>
          </w:tcPr>
          <w:p>
            <w:r>
              <w:rPr>
                <w:sz w:val="18"/>
              </w:rPr>
              <w:t>Session recording akses admin, just-in-time access, keystroke logging untuk akun privileged</w:t>
            </w:r>
          </w:p>
        </w:tc>
        <w:tc>
          <w:tcPr>
            <w:tcW w:type="dxa" w:w="3118"/>
            <w:shd w:val="clear" w:color="auto" w:fill="DEEAF1"/>
          </w:tcPr>
          <w:p>
            <w:r>
              <w:rPr>
                <w:sz w:val="18"/>
              </w:rPr>
              <w:t>Semua akses admin ke server produksi wajib melalui PAM</w:t>
            </w:r>
          </w:p>
        </w:tc>
      </w:tr>
      <w:tr>
        <w:tc>
          <w:tcPr>
            <w:tcW w:type="dxa" w:w="3118"/>
            <w:shd w:val="clear" w:color="auto" w:fill="F2F7FB"/>
          </w:tcPr>
          <w:p>
            <w:r>
              <w:rPr>
                <w:b/>
                <w:color w:val="1F497D"/>
                <w:sz w:val="18"/>
              </w:rPr>
              <w:t>CASB (Cloud Access Security Broker)</w:t>
            </w:r>
          </w:p>
        </w:tc>
        <w:tc>
          <w:tcPr>
            <w:tcW w:type="dxa" w:w="3118"/>
            <w:shd w:val="clear" w:color="auto" w:fill="F2F7FB"/>
          </w:tcPr>
          <w:p>
            <w:r>
              <w:rPr>
                <w:sz w:val="18"/>
              </w:rPr>
              <w:t>Visibilitas penggunaan cloud, DLP untuk SaaS, anomali akses cloud, shadow IT discovery</w:t>
            </w:r>
          </w:p>
        </w:tc>
        <w:tc>
          <w:tcPr>
            <w:tcW w:type="dxa" w:w="3118"/>
            <w:shd w:val="clear" w:color="auto" w:fill="F2F7FB"/>
          </w:tcPr>
          <w:p>
            <w:r>
              <w:rPr>
                <w:sz w:val="18"/>
              </w:rPr>
              <w:t>Untuk monitoring O365, aplikasi cloud lainnya</w:t>
            </w:r>
          </w:p>
        </w:tc>
      </w:tr>
      <w:tr>
        <w:tc>
          <w:tcPr>
            <w:tcW w:type="dxa" w:w="3118"/>
            <w:shd w:val="clear" w:color="auto" w:fill="DEEAF1"/>
          </w:tcPr>
          <w:p>
            <w:r>
              <w:rPr>
                <w:b/>
                <w:color w:val="1F497D"/>
                <w:sz w:val="18"/>
              </w:rPr>
              <w:t>NDR (Network Detection &amp; Response)</w:t>
            </w:r>
          </w:p>
        </w:tc>
        <w:tc>
          <w:tcPr>
            <w:tcW w:type="dxa" w:w="3118"/>
            <w:shd w:val="clear" w:color="auto" w:fill="DEEAF1"/>
          </w:tcPr>
          <w:p>
            <w:r>
              <w:rPr>
                <w:sz w:val="18"/>
              </w:rPr>
              <w:t>Behavioral analysis traffic jaringan, deteksi lateral movement, C2 communication</w:t>
            </w:r>
          </w:p>
        </w:tc>
        <w:tc>
          <w:tcPr>
            <w:tcW w:type="dxa" w:w="3118"/>
            <w:shd w:val="clear" w:color="auto" w:fill="DEEAF1"/>
          </w:tcPr>
          <w:p>
            <w:r>
              <w:rPr>
                <w:sz w:val="18"/>
              </w:rPr>
              <w:t>Evaluasi vendor Q2 2026</w:t>
            </w:r>
          </w:p>
        </w:tc>
      </w:tr>
      <w:tr>
        <w:tc>
          <w:tcPr>
            <w:tcW w:type="dxa" w:w="3118"/>
            <w:shd w:val="clear" w:color="auto" w:fill="F2F7FB"/>
          </w:tcPr>
          <w:p>
            <w:r>
              <w:rPr>
                <w:b/>
                <w:color w:val="1F497D"/>
                <w:sz w:val="18"/>
              </w:rPr>
              <w:t>UEBA (User Entity Behavior Analytics)</w:t>
            </w:r>
          </w:p>
        </w:tc>
        <w:tc>
          <w:tcPr>
            <w:tcW w:type="dxa" w:w="3118"/>
            <w:shd w:val="clear" w:color="auto" w:fill="F2F7FB"/>
          </w:tcPr>
          <w:p>
            <w:r>
              <w:rPr>
                <w:sz w:val="18"/>
              </w:rPr>
              <w:t>Deteksi anomali perilaku pengguna: akses tidak wajar, login dari lokasi baru, data exfiltration pattern</w:t>
            </w:r>
          </w:p>
        </w:tc>
        <w:tc>
          <w:tcPr>
            <w:tcW w:type="dxa" w:w="3118"/>
            <w:shd w:val="clear" w:color="auto" w:fill="F2F7FB"/>
          </w:tcPr>
          <w:p>
            <w:r>
              <w:rPr>
                <w:sz w:val="18"/>
              </w:rPr>
              <w:t>Integrasi dengan SIEM dan IAM</w:t>
            </w:r>
          </w:p>
        </w:tc>
      </w:tr>
    </w:tbl>
    <w:p/>
    <w:p>
      <w:pPr>
        <w:spacing w:before="200" w:after="120"/>
      </w:pPr>
      <w:r>
        <w:rPr>
          <w:b/>
          <w:color w:val="2E74B5"/>
          <w:sz w:val="24"/>
        </w:rPr>
        <w:t>5. Use Cases Deteksi dan Alert Rules</w:t>
      </w:r>
    </w:p>
    <w:p>
      <w:pPr>
        <w:spacing w:before="40" w:after="80"/>
      </w:pPr>
      <w:r>
        <w:rPr>
          <w:sz w:val="22"/>
        </w:rPr>
        <w:t>Berikut adalah use cases monitoring kritis yang wajib dikonfigurasi dalam SIEM, diprioritaskan berdasarkan risiko bisnis PT Equity Life Indonesia:</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shd w:val="clear" w:color="auto" w:fill="1F497D"/>
          </w:tcPr>
          <w:p>
            <w:r>
              <w:rPr>
                <w:b/>
                <w:color w:val="FFFFFF"/>
                <w:sz w:val="16"/>
              </w:rPr>
              <w:t>ID</w:t>
            </w:r>
          </w:p>
        </w:tc>
        <w:tc>
          <w:tcPr>
            <w:tcW w:type="dxa" w:w="1871"/>
            <w:shd w:val="clear" w:color="auto" w:fill="1F497D"/>
          </w:tcPr>
          <w:p>
            <w:r>
              <w:rPr>
                <w:b/>
                <w:color w:val="FFFFFF"/>
                <w:sz w:val="16"/>
              </w:rPr>
              <w:t>Use Case</w:t>
            </w:r>
          </w:p>
        </w:tc>
        <w:tc>
          <w:tcPr>
            <w:tcW w:type="dxa" w:w="1871"/>
            <w:shd w:val="clear" w:color="auto" w:fill="1F497D"/>
          </w:tcPr>
          <w:p>
            <w:r>
              <w:rPr>
                <w:b/>
                <w:color w:val="FFFFFF"/>
                <w:sz w:val="16"/>
              </w:rPr>
              <w:t>Sumber Log</w:t>
            </w:r>
          </w:p>
        </w:tc>
        <w:tc>
          <w:tcPr>
            <w:tcW w:type="dxa" w:w="1871"/>
            <w:shd w:val="clear" w:color="auto" w:fill="1F497D"/>
          </w:tcPr>
          <w:p>
            <w:r>
              <w:rPr>
                <w:b/>
                <w:color w:val="FFFFFF"/>
                <w:sz w:val="16"/>
              </w:rPr>
              <w:t>Kondisi Trigger</w:t>
            </w:r>
          </w:p>
        </w:tc>
        <w:tc>
          <w:tcPr>
            <w:tcW w:type="dxa" w:w="1871"/>
            <w:shd w:val="clear" w:color="auto" w:fill="1F497D"/>
          </w:tcPr>
          <w:p>
            <w:r>
              <w:rPr>
                <w:b/>
                <w:color w:val="FFFFFF"/>
                <w:sz w:val="16"/>
              </w:rPr>
              <w:t>Severity</w:t>
            </w:r>
          </w:p>
        </w:tc>
      </w:tr>
      <w:tr>
        <w:tc>
          <w:tcPr>
            <w:tcW w:type="dxa" w:w="1871"/>
            <w:shd w:val="clear" w:color="auto" w:fill="DEEAF1"/>
          </w:tcPr>
          <w:p>
            <w:r>
              <w:rPr>
                <w:sz w:val="16"/>
              </w:rPr>
              <w:t>UC-001</w:t>
            </w:r>
          </w:p>
        </w:tc>
        <w:tc>
          <w:tcPr>
            <w:tcW w:type="dxa" w:w="1871"/>
            <w:shd w:val="clear" w:color="auto" w:fill="DEEAF1"/>
          </w:tcPr>
          <w:p>
            <w:r>
              <w:rPr>
                <w:sz w:val="16"/>
              </w:rPr>
              <w:t>Brute Force Login</w:t>
            </w:r>
          </w:p>
        </w:tc>
        <w:tc>
          <w:tcPr>
            <w:tcW w:type="dxa" w:w="1871"/>
            <w:shd w:val="clear" w:color="auto" w:fill="DEEAF1"/>
          </w:tcPr>
          <w:p>
            <w:r>
              <w:rPr>
                <w:sz w:val="16"/>
              </w:rPr>
              <w:t>AD, App logs, VPN</w:t>
            </w:r>
          </w:p>
        </w:tc>
        <w:tc>
          <w:tcPr>
            <w:tcW w:type="dxa" w:w="1871"/>
            <w:shd w:val="clear" w:color="auto" w:fill="DEEAF1"/>
          </w:tcPr>
          <w:p>
            <w:r>
              <w:rPr>
                <w:sz w:val="16"/>
              </w:rPr>
              <w:t>&gt;5 gagal login dalam 5 menit dari 1 IP</w:t>
            </w:r>
          </w:p>
        </w:tc>
        <w:tc>
          <w:tcPr>
            <w:tcW w:type="dxa" w:w="1871"/>
            <w:shd w:val="clear" w:color="auto" w:fill="FFD9A0"/>
          </w:tcPr>
          <w:p>
            <w:r>
              <w:rPr>
                <w:b/>
                <w:color w:val="8B4500"/>
                <w:sz w:val="16"/>
              </w:rPr>
              <w:t>HIGH</w:t>
            </w:r>
          </w:p>
        </w:tc>
      </w:tr>
      <w:tr>
        <w:tc>
          <w:tcPr>
            <w:tcW w:type="dxa" w:w="1871"/>
            <w:shd w:val="clear" w:color="auto" w:fill="F2F7FB"/>
          </w:tcPr>
          <w:p>
            <w:r>
              <w:rPr>
                <w:sz w:val="16"/>
              </w:rPr>
              <w:t>UC-002</w:t>
            </w:r>
          </w:p>
        </w:tc>
        <w:tc>
          <w:tcPr>
            <w:tcW w:type="dxa" w:w="1871"/>
            <w:shd w:val="clear" w:color="auto" w:fill="F2F7FB"/>
          </w:tcPr>
          <w:p>
            <w:r>
              <w:rPr>
                <w:sz w:val="16"/>
              </w:rPr>
              <w:t>Akun Aktif Setelah Jam Kerja</w:t>
            </w:r>
          </w:p>
        </w:tc>
        <w:tc>
          <w:tcPr>
            <w:tcW w:type="dxa" w:w="1871"/>
            <w:shd w:val="clear" w:color="auto" w:fill="F2F7FB"/>
          </w:tcPr>
          <w:p>
            <w:r>
              <w:rPr>
                <w:sz w:val="16"/>
              </w:rPr>
              <w:t>AD, VPN, App logs</w:t>
            </w:r>
          </w:p>
        </w:tc>
        <w:tc>
          <w:tcPr>
            <w:tcW w:type="dxa" w:w="1871"/>
            <w:shd w:val="clear" w:color="auto" w:fill="F2F7FB"/>
          </w:tcPr>
          <w:p>
            <w:r>
              <w:rPr>
                <w:sz w:val="16"/>
              </w:rPr>
              <w:t>Login antara 22:00-06:00 WIB dari akun non-IT</w:t>
            </w:r>
          </w:p>
        </w:tc>
        <w:tc>
          <w:tcPr>
            <w:tcW w:type="dxa" w:w="1871"/>
            <w:shd w:val="clear" w:color="auto" w:fill="FFF9C4"/>
          </w:tcPr>
          <w:p>
            <w:r>
              <w:rPr>
                <w:b/>
                <w:color w:val="7B6A00"/>
                <w:sz w:val="16"/>
              </w:rPr>
              <w:t>MEDIUM</w:t>
            </w:r>
          </w:p>
        </w:tc>
      </w:tr>
      <w:tr>
        <w:tc>
          <w:tcPr>
            <w:tcW w:type="dxa" w:w="1871"/>
            <w:shd w:val="clear" w:color="auto" w:fill="DEEAF1"/>
          </w:tcPr>
          <w:p>
            <w:r>
              <w:rPr>
                <w:sz w:val="16"/>
              </w:rPr>
              <w:t>UC-003</w:t>
            </w:r>
          </w:p>
        </w:tc>
        <w:tc>
          <w:tcPr>
            <w:tcW w:type="dxa" w:w="1871"/>
            <w:shd w:val="clear" w:color="auto" w:fill="DEEAF1"/>
          </w:tcPr>
          <w:p>
            <w:r>
              <w:rPr>
                <w:sz w:val="16"/>
              </w:rPr>
              <w:t>Akses Data Nasabah Massal</w:t>
            </w:r>
          </w:p>
        </w:tc>
        <w:tc>
          <w:tcPr>
            <w:tcW w:type="dxa" w:w="1871"/>
            <w:shd w:val="clear" w:color="auto" w:fill="DEEAF1"/>
          </w:tcPr>
          <w:p>
            <w:r>
              <w:rPr>
                <w:sz w:val="16"/>
              </w:rPr>
              <w:t>DAM, App logs</w:t>
            </w:r>
          </w:p>
        </w:tc>
        <w:tc>
          <w:tcPr>
            <w:tcW w:type="dxa" w:w="1871"/>
            <w:shd w:val="clear" w:color="auto" w:fill="DEEAF1"/>
          </w:tcPr>
          <w:p>
            <w:r>
              <w:rPr>
                <w:sz w:val="16"/>
              </w:rPr>
              <w:t>1 user query &gt;1000 record nasabah dalam 1 jam</w:t>
            </w:r>
          </w:p>
        </w:tc>
        <w:tc>
          <w:tcPr>
            <w:tcW w:type="dxa" w:w="1871"/>
            <w:shd w:val="clear" w:color="auto" w:fill="FFD9A0"/>
          </w:tcPr>
          <w:p>
            <w:r>
              <w:rPr>
                <w:b/>
                <w:color w:val="8B4500"/>
                <w:sz w:val="16"/>
              </w:rPr>
              <w:t>HIGH</w:t>
            </w:r>
          </w:p>
        </w:tc>
      </w:tr>
      <w:tr>
        <w:tc>
          <w:tcPr>
            <w:tcW w:type="dxa" w:w="1871"/>
            <w:shd w:val="clear" w:color="auto" w:fill="F2F7FB"/>
          </w:tcPr>
          <w:p>
            <w:r>
              <w:rPr>
                <w:sz w:val="16"/>
              </w:rPr>
              <w:t>UC-004</w:t>
            </w:r>
          </w:p>
        </w:tc>
        <w:tc>
          <w:tcPr>
            <w:tcW w:type="dxa" w:w="1871"/>
            <w:shd w:val="clear" w:color="auto" w:fill="F2F7FB"/>
          </w:tcPr>
          <w:p>
            <w:r>
              <w:rPr>
                <w:sz w:val="16"/>
              </w:rPr>
              <w:t>Privileged Account Created</w:t>
            </w:r>
          </w:p>
        </w:tc>
        <w:tc>
          <w:tcPr>
            <w:tcW w:type="dxa" w:w="1871"/>
            <w:shd w:val="clear" w:color="auto" w:fill="F2F7FB"/>
          </w:tcPr>
          <w:p>
            <w:r>
              <w:rPr>
                <w:sz w:val="16"/>
              </w:rPr>
              <w:t>AD, PAM logs</w:t>
            </w:r>
          </w:p>
        </w:tc>
        <w:tc>
          <w:tcPr>
            <w:tcW w:type="dxa" w:w="1871"/>
            <w:shd w:val="clear" w:color="auto" w:fill="F2F7FB"/>
          </w:tcPr>
          <w:p>
            <w:r>
              <w:rPr>
                <w:sz w:val="16"/>
              </w:rPr>
              <w:t>Pembuatan akun admin baru di luar prosedur change mgmt</w:t>
            </w:r>
          </w:p>
        </w:tc>
        <w:tc>
          <w:tcPr>
            <w:tcW w:type="dxa" w:w="1871"/>
            <w:shd w:val="clear" w:color="auto" w:fill="FFD9A0"/>
          </w:tcPr>
          <w:p>
            <w:r>
              <w:rPr>
                <w:b/>
                <w:color w:val="8B4500"/>
                <w:sz w:val="16"/>
              </w:rPr>
              <w:t>HIGH</w:t>
            </w:r>
          </w:p>
        </w:tc>
      </w:tr>
      <w:tr>
        <w:tc>
          <w:tcPr>
            <w:tcW w:type="dxa" w:w="1871"/>
            <w:shd w:val="clear" w:color="auto" w:fill="DEEAF1"/>
          </w:tcPr>
          <w:p>
            <w:r>
              <w:rPr>
                <w:sz w:val="16"/>
              </w:rPr>
              <w:t>UC-005</w:t>
            </w:r>
          </w:p>
        </w:tc>
        <w:tc>
          <w:tcPr>
            <w:tcW w:type="dxa" w:w="1871"/>
            <w:shd w:val="clear" w:color="auto" w:fill="DEEAF1"/>
          </w:tcPr>
          <w:p>
            <w:r>
              <w:rPr>
                <w:sz w:val="16"/>
              </w:rPr>
              <w:t>Data Exfiltration via Email</w:t>
            </w:r>
          </w:p>
        </w:tc>
        <w:tc>
          <w:tcPr>
            <w:tcW w:type="dxa" w:w="1871"/>
            <w:shd w:val="clear" w:color="auto" w:fill="DEEAF1"/>
          </w:tcPr>
          <w:p>
            <w:r>
              <w:rPr>
                <w:sz w:val="16"/>
              </w:rPr>
              <w:t>Email gateway, DLP</w:t>
            </w:r>
          </w:p>
        </w:tc>
        <w:tc>
          <w:tcPr>
            <w:tcW w:type="dxa" w:w="1871"/>
            <w:shd w:val="clear" w:color="auto" w:fill="DEEAF1"/>
          </w:tcPr>
          <w:p>
            <w:r>
              <w:rPr>
                <w:sz w:val="16"/>
              </w:rPr>
              <w:t>Email dengan attachment &gt;10MB ke domain external tak dikenal</w:t>
            </w:r>
          </w:p>
        </w:tc>
        <w:tc>
          <w:tcPr>
            <w:tcW w:type="dxa" w:w="1871"/>
            <w:shd w:val="clear" w:color="auto" w:fill="FFB3B3"/>
          </w:tcPr>
          <w:p>
            <w:r>
              <w:rPr>
                <w:b/>
                <w:color w:val="C00000"/>
                <w:sz w:val="16"/>
              </w:rPr>
              <w:t>CRITICAL</w:t>
            </w:r>
          </w:p>
        </w:tc>
      </w:tr>
      <w:tr>
        <w:tc>
          <w:tcPr>
            <w:tcW w:type="dxa" w:w="1871"/>
            <w:shd w:val="clear" w:color="auto" w:fill="F2F7FB"/>
          </w:tcPr>
          <w:p>
            <w:r>
              <w:rPr>
                <w:sz w:val="16"/>
              </w:rPr>
              <w:t>UC-006</w:t>
            </w:r>
          </w:p>
        </w:tc>
        <w:tc>
          <w:tcPr>
            <w:tcW w:type="dxa" w:w="1871"/>
            <w:shd w:val="clear" w:color="auto" w:fill="F2F7FB"/>
          </w:tcPr>
          <w:p>
            <w:r>
              <w:rPr>
                <w:sz w:val="16"/>
              </w:rPr>
              <w:t>Malware Terdeteksi</w:t>
            </w:r>
          </w:p>
        </w:tc>
        <w:tc>
          <w:tcPr>
            <w:tcW w:type="dxa" w:w="1871"/>
            <w:shd w:val="clear" w:color="auto" w:fill="F2F7FB"/>
          </w:tcPr>
          <w:p>
            <w:r>
              <w:rPr>
                <w:sz w:val="16"/>
              </w:rPr>
              <w:t>EDR</w:t>
            </w:r>
          </w:p>
        </w:tc>
        <w:tc>
          <w:tcPr>
            <w:tcW w:type="dxa" w:w="1871"/>
            <w:shd w:val="clear" w:color="auto" w:fill="F2F7FB"/>
          </w:tcPr>
          <w:p>
            <w:r>
              <w:rPr>
                <w:sz w:val="16"/>
              </w:rPr>
              <w:t>EDR mendeteksi malware aktif atau aktivitas mencurigakan</w:t>
            </w:r>
          </w:p>
        </w:tc>
        <w:tc>
          <w:tcPr>
            <w:tcW w:type="dxa" w:w="1871"/>
            <w:shd w:val="clear" w:color="auto" w:fill="FFB3B3"/>
          </w:tcPr>
          <w:p>
            <w:r>
              <w:rPr>
                <w:b/>
                <w:color w:val="C00000"/>
                <w:sz w:val="16"/>
              </w:rPr>
              <w:t>CRITICAL</w:t>
            </w:r>
          </w:p>
        </w:tc>
      </w:tr>
      <w:tr>
        <w:tc>
          <w:tcPr>
            <w:tcW w:type="dxa" w:w="1871"/>
            <w:shd w:val="clear" w:color="auto" w:fill="DEEAF1"/>
          </w:tcPr>
          <w:p>
            <w:r>
              <w:rPr>
                <w:sz w:val="16"/>
              </w:rPr>
              <w:t>UC-007</w:t>
            </w:r>
          </w:p>
        </w:tc>
        <w:tc>
          <w:tcPr>
            <w:tcW w:type="dxa" w:w="1871"/>
            <w:shd w:val="clear" w:color="auto" w:fill="DEEAF1"/>
          </w:tcPr>
          <w:p>
            <w:r>
              <w:rPr>
                <w:sz w:val="16"/>
              </w:rPr>
              <w:t>Koneksi ke IP/Domain Berbahaya</w:t>
            </w:r>
          </w:p>
        </w:tc>
        <w:tc>
          <w:tcPr>
            <w:tcW w:type="dxa" w:w="1871"/>
            <w:shd w:val="clear" w:color="auto" w:fill="DEEAF1"/>
          </w:tcPr>
          <w:p>
            <w:r>
              <w:rPr>
                <w:sz w:val="16"/>
              </w:rPr>
              <w:t>Firewall, Proxy, DNS</w:t>
            </w:r>
          </w:p>
        </w:tc>
        <w:tc>
          <w:tcPr>
            <w:tcW w:type="dxa" w:w="1871"/>
            <w:shd w:val="clear" w:color="auto" w:fill="DEEAF1"/>
          </w:tcPr>
          <w:p>
            <w:r>
              <w:rPr>
                <w:sz w:val="16"/>
              </w:rPr>
              <w:t>Koneksi ke IoC yang ada di blocklist TI</w:t>
            </w:r>
          </w:p>
        </w:tc>
        <w:tc>
          <w:tcPr>
            <w:tcW w:type="dxa" w:w="1871"/>
            <w:shd w:val="clear" w:color="auto" w:fill="FFD9A0"/>
          </w:tcPr>
          <w:p>
            <w:r>
              <w:rPr>
                <w:b/>
                <w:color w:val="8B4500"/>
                <w:sz w:val="16"/>
              </w:rPr>
              <w:t>HIGH</w:t>
            </w:r>
          </w:p>
        </w:tc>
      </w:tr>
      <w:tr>
        <w:tc>
          <w:tcPr>
            <w:tcW w:type="dxa" w:w="1871"/>
            <w:shd w:val="clear" w:color="auto" w:fill="F2F7FB"/>
          </w:tcPr>
          <w:p>
            <w:r>
              <w:rPr>
                <w:sz w:val="16"/>
              </w:rPr>
              <w:t>UC-008</w:t>
            </w:r>
          </w:p>
        </w:tc>
        <w:tc>
          <w:tcPr>
            <w:tcW w:type="dxa" w:w="1871"/>
            <w:shd w:val="clear" w:color="auto" w:fill="F2F7FB"/>
          </w:tcPr>
          <w:p>
            <w:r>
              <w:rPr>
                <w:sz w:val="16"/>
              </w:rPr>
              <w:t>Perubahan Konfigurasi Firewall</w:t>
            </w:r>
          </w:p>
        </w:tc>
        <w:tc>
          <w:tcPr>
            <w:tcW w:type="dxa" w:w="1871"/>
            <w:shd w:val="clear" w:color="auto" w:fill="F2F7FB"/>
          </w:tcPr>
          <w:p>
            <w:r>
              <w:rPr>
                <w:sz w:val="16"/>
              </w:rPr>
              <w:t>Firewall logs, SIEM</w:t>
            </w:r>
          </w:p>
        </w:tc>
        <w:tc>
          <w:tcPr>
            <w:tcW w:type="dxa" w:w="1871"/>
            <w:shd w:val="clear" w:color="auto" w:fill="F2F7FB"/>
          </w:tcPr>
          <w:p>
            <w:r>
              <w:rPr>
                <w:sz w:val="16"/>
              </w:rPr>
              <w:t>Perubahan rule firewall di luar change window</w:t>
            </w:r>
          </w:p>
        </w:tc>
        <w:tc>
          <w:tcPr>
            <w:tcW w:type="dxa" w:w="1871"/>
            <w:shd w:val="clear" w:color="auto" w:fill="FFD9A0"/>
          </w:tcPr>
          <w:p>
            <w:r>
              <w:rPr>
                <w:b/>
                <w:color w:val="8B4500"/>
                <w:sz w:val="16"/>
              </w:rPr>
              <w:t>HIGH</w:t>
            </w:r>
          </w:p>
        </w:tc>
      </w:tr>
      <w:tr>
        <w:tc>
          <w:tcPr>
            <w:tcW w:type="dxa" w:w="1871"/>
            <w:shd w:val="clear" w:color="auto" w:fill="DEEAF1"/>
          </w:tcPr>
          <w:p>
            <w:r>
              <w:rPr>
                <w:sz w:val="16"/>
              </w:rPr>
              <w:t>UC-009</w:t>
            </w:r>
          </w:p>
        </w:tc>
        <w:tc>
          <w:tcPr>
            <w:tcW w:type="dxa" w:w="1871"/>
            <w:shd w:val="clear" w:color="auto" w:fill="DEEAF1"/>
          </w:tcPr>
          <w:p>
            <w:r>
              <w:rPr>
                <w:sz w:val="16"/>
              </w:rPr>
              <w:t>Log Terhenti dari Sumber Kritis</w:t>
            </w:r>
          </w:p>
        </w:tc>
        <w:tc>
          <w:tcPr>
            <w:tcW w:type="dxa" w:w="1871"/>
            <w:shd w:val="clear" w:color="auto" w:fill="DEEAF1"/>
          </w:tcPr>
          <w:p>
            <w:r>
              <w:rPr>
                <w:sz w:val="16"/>
              </w:rPr>
              <w:t>SIEM meta-log</w:t>
            </w:r>
          </w:p>
        </w:tc>
        <w:tc>
          <w:tcPr>
            <w:tcW w:type="dxa" w:w="1871"/>
            <w:shd w:val="clear" w:color="auto" w:fill="DEEAF1"/>
          </w:tcPr>
          <w:p>
            <w:r>
              <w:rPr>
                <w:sz w:val="16"/>
              </w:rPr>
              <w:t>Tidak ada log dari sistem kritis &gt;15 menit</w:t>
            </w:r>
          </w:p>
        </w:tc>
        <w:tc>
          <w:tcPr>
            <w:tcW w:type="dxa" w:w="1871"/>
            <w:shd w:val="clear" w:color="auto" w:fill="FFD9A0"/>
          </w:tcPr>
          <w:p>
            <w:r>
              <w:rPr>
                <w:b/>
                <w:color w:val="8B4500"/>
                <w:sz w:val="16"/>
              </w:rPr>
              <w:t>HIGH</w:t>
            </w:r>
          </w:p>
        </w:tc>
      </w:tr>
      <w:tr>
        <w:tc>
          <w:tcPr>
            <w:tcW w:type="dxa" w:w="1871"/>
            <w:shd w:val="clear" w:color="auto" w:fill="F2F7FB"/>
          </w:tcPr>
          <w:p>
            <w:r>
              <w:rPr>
                <w:sz w:val="16"/>
              </w:rPr>
              <w:t>UC-010</w:t>
            </w:r>
          </w:p>
        </w:tc>
        <w:tc>
          <w:tcPr>
            <w:tcW w:type="dxa" w:w="1871"/>
            <w:shd w:val="clear" w:color="auto" w:fill="F2F7FB"/>
          </w:tcPr>
          <w:p>
            <w:r>
              <w:rPr>
                <w:sz w:val="16"/>
              </w:rPr>
              <w:t>Lateral Movement via SMB/RDP</w:t>
            </w:r>
          </w:p>
        </w:tc>
        <w:tc>
          <w:tcPr>
            <w:tcW w:type="dxa" w:w="1871"/>
            <w:shd w:val="clear" w:color="auto" w:fill="F2F7FB"/>
          </w:tcPr>
          <w:p>
            <w:r>
              <w:rPr>
                <w:sz w:val="16"/>
              </w:rPr>
              <w:t>Network logs, EDR</w:t>
            </w:r>
          </w:p>
        </w:tc>
        <w:tc>
          <w:tcPr>
            <w:tcW w:type="dxa" w:w="1871"/>
            <w:shd w:val="clear" w:color="auto" w:fill="F2F7FB"/>
          </w:tcPr>
          <w:p>
            <w:r>
              <w:rPr>
                <w:sz w:val="16"/>
              </w:rPr>
              <w:t>RDP/SMB ke &gt;3 internal host berbeda dalam 10 menit</w:t>
            </w:r>
          </w:p>
        </w:tc>
        <w:tc>
          <w:tcPr>
            <w:tcW w:type="dxa" w:w="1871"/>
            <w:shd w:val="clear" w:color="auto" w:fill="FFB3B3"/>
          </w:tcPr>
          <w:p>
            <w:r>
              <w:rPr>
                <w:b/>
                <w:color w:val="C00000"/>
                <w:sz w:val="16"/>
              </w:rPr>
              <w:t>CRITICAL</w:t>
            </w:r>
          </w:p>
        </w:tc>
      </w:tr>
      <w:tr>
        <w:tc>
          <w:tcPr>
            <w:tcW w:type="dxa" w:w="1871"/>
            <w:shd w:val="clear" w:color="auto" w:fill="DEEAF1"/>
          </w:tcPr>
          <w:p>
            <w:r>
              <w:rPr>
                <w:sz w:val="16"/>
              </w:rPr>
              <w:t>UC-011</w:t>
            </w:r>
          </w:p>
        </w:tc>
        <w:tc>
          <w:tcPr>
            <w:tcW w:type="dxa" w:w="1871"/>
            <w:shd w:val="clear" w:color="auto" w:fill="DEEAF1"/>
          </w:tcPr>
          <w:p>
            <w:r>
              <w:rPr>
                <w:sz w:val="16"/>
              </w:rPr>
              <w:t>Akses ke Data Klaim Kesehatan Berlebihan</w:t>
            </w:r>
          </w:p>
        </w:tc>
        <w:tc>
          <w:tcPr>
            <w:tcW w:type="dxa" w:w="1871"/>
            <w:shd w:val="clear" w:color="auto" w:fill="DEEAF1"/>
          </w:tcPr>
          <w:p>
            <w:r>
              <w:rPr>
                <w:sz w:val="16"/>
              </w:rPr>
              <w:t>DAM, App logs</w:t>
            </w:r>
          </w:p>
        </w:tc>
        <w:tc>
          <w:tcPr>
            <w:tcW w:type="dxa" w:w="1871"/>
            <w:shd w:val="clear" w:color="auto" w:fill="DEEAF1"/>
          </w:tcPr>
          <w:p>
            <w:r>
              <w:rPr>
                <w:sz w:val="16"/>
              </w:rPr>
              <w:t>Akses &gt;50 record klaim kesehatan berbeda dalam 1 jam oleh 1 user</w:t>
            </w:r>
          </w:p>
        </w:tc>
        <w:tc>
          <w:tcPr>
            <w:tcW w:type="dxa" w:w="1871"/>
            <w:shd w:val="clear" w:color="auto" w:fill="FFD9A0"/>
          </w:tcPr>
          <w:p>
            <w:r>
              <w:rPr>
                <w:b/>
                <w:color w:val="8B4500"/>
                <w:sz w:val="16"/>
              </w:rPr>
              <w:t>HIGH</w:t>
            </w:r>
          </w:p>
        </w:tc>
      </w:tr>
      <w:tr>
        <w:tc>
          <w:tcPr>
            <w:tcW w:type="dxa" w:w="1871"/>
            <w:shd w:val="clear" w:color="auto" w:fill="F2F7FB"/>
          </w:tcPr>
          <w:p>
            <w:r>
              <w:rPr>
                <w:sz w:val="16"/>
              </w:rPr>
              <w:t>UC-012</w:t>
            </w:r>
          </w:p>
        </w:tc>
        <w:tc>
          <w:tcPr>
            <w:tcW w:type="dxa" w:w="1871"/>
            <w:shd w:val="clear" w:color="auto" w:fill="F2F7FB"/>
          </w:tcPr>
          <w:p>
            <w:r>
              <w:rPr>
                <w:sz w:val="16"/>
              </w:rPr>
              <w:t>Penghapusan Log / Audit Trail</w:t>
            </w:r>
          </w:p>
        </w:tc>
        <w:tc>
          <w:tcPr>
            <w:tcW w:type="dxa" w:w="1871"/>
            <w:shd w:val="clear" w:color="auto" w:fill="F2F7FB"/>
          </w:tcPr>
          <w:p>
            <w:r>
              <w:rPr>
                <w:sz w:val="16"/>
              </w:rPr>
              <w:t>OS logs, SIEM</w:t>
            </w:r>
          </w:p>
        </w:tc>
        <w:tc>
          <w:tcPr>
            <w:tcW w:type="dxa" w:w="1871"/>
            <w:shd w:val="clear" w:color="auto" w:fill="F2F7FB"/>
          </w:tcPr>
          <w:p>
            <w:r>
              <w:rPr>
                <w:sz w:val="16"/>
              </w:rPr>
              <w:t>Upaya menghapus atau menonaktifkan audit log</w:t>
            </w:r>
          </w:p>
        </w:tc>
        <w:tc>
          <w:tcPr>
            <w:tcW w:type="dxa" w:w="1871"/>
            <w:shd w:val="clear" w:color="auto" w:fill="FFB3B3"/>
          </w:tcPr>
          <w:p>
            <w:r>
              <w:rPr>
                <w:b/>
                <w:color w:val="C00000"/>
                <w:sz w:val="16"/>
              </w:rPr>
              <w:t>CRITICAL</w:t>
            </w:r>
          </w:p>
        </w:tc>
      </w:tr>
      <w:tr>
        <w:tc>
          <w:tcPr>
            <w:tcW w:type="dxa" w:w="1871"/>
            <w:shd w:val="clear" w:color="auto" w:fill="DEEAF1"/>
          </w:tcPr>
          <w:p>
            <w:r>
              <w:rPr>
                <w:sz w:val="16"/>
              </w:rPr>
              <w:t>UC-013</w:t>
            </w:r>
          </w:p>
        </w:tc>
        <w:tc>
          <w:tcPr>
            <w:tcW w:type="dxa" w:w="1871"/>
            <w:shd w:val="clear" w:color="auto" w:fill="DEEAF1"/>
          </w:tcPr>
          <w:p>
            <w:r>
              <w:rPr>
                <w:sz w:val="16"/>
              </w:rPr>
              <w:t>USB / Removable Media Inserted</w:t>
            </w:r>
          </w:p>
        </w:tc>
        <w:tc>
          <w:tcPr>
            <w:tcW w:type="dxa" w:w="1871"/>
            <w:shd w:val="clear" w:color="auto" w:fill="DEEAF1"/>
          </w:tcPr>
          <w:p>
            <w:r>
              <w:rPr>
                <w:sz w:val="16"/>
              </w:rPr>
              <w:t>EDR, OS logs</w:t>
            </w:r>
          </w:p>
        </w:tc>
        <w:tc>
          <w:tcPr>
            <w:tcW w:type="dxa" w:w="1871"/>
            <w:shd w:val="clear" w:color="auto" w:fill="DEEAF1"/>
          </w:tcPr>
          <w:p>
            <w:r>
              <w:rPr>
                <w:sz w:val="16"/>
              </w:rPr>
              <w:t>Penyisipan USB ke endpoint yang tidak terdaftar di whitelist</w:t>
            </w:r>
          </w:p>
        </w:tc>
        <w:tc>
          <w:tcPr>
            <w:tcW w:type="dxa" w:w="1871"/>
            <w:shd w:val="clear" w:color="auto" w:fill="FFF9C4"/>
          </w:tcPr>
          <w:p>
            <w:r>
              <w:rPr>
                <w:b/>
                <w:color w:val="7B6A00"/>
                <w:sz w:val="16"/>
              </w:rPr>
              <w:t>MEDIUM</w:t>
            </w:r>
          </w:p>
        </w:tc>
      </w:tr>
      <w:tr>
        <w:tc>
          <w:tcPr>
            <w:tcW w:type="dxa" w:w="1871"/>
            <w:shd w:val="clear" w:color="auto" w:fill="F2F7FB"/>
          </w:tcPr>
          <w:p>
            <w:r>
              <w:rPr>
                <w:sz w:val="16"/>
              </w:rPr>
              <w:t>UC-014</w:t>
            </w:r>
          </w:p>
        </w:tc>
        <w:tc>
          <w:tcPr>
            <w:tcW w:type="dxa" w:w="1871"/>
            <w:shd w:val="clear" w:color="auto" w:fill="F2F7FB"/>
          </w:tcPr>
          <w:p>
            <w:r>
              <w:rPr>
                <w:sz w:val="16"/>
              </w:rPr>
              <w:t>DNS Tunneling Terdeteksi</w:t>
            </w:r>
          </w:p>
        </w:tc>
        <w:tc>
          <w:tcPr>
            <w:tcW w:type="dxa" w:w="1871"/>
            <w:shd w:val="clear" w:color="auto" w:fill="F2F7FB"/>
          </w:tcPr>
          <w:p>
            <w:r>
              <w:rPr>
                <w:sz w:val="16"/>
              </w:rPr>
              <w:t>DNS logs</w:t>
            </w:r>
          </w:p>
        </w:tc>
        <w:tc>
          <w:tcPr>
            <w:tcW w:type="dxa" w:w="1871"/>
            <w:shd w:val="clear" w:color="auto" w:fill="F2F7FB"/>
          </w:tcPr>
          <w:p>
            <w:r>
              <w:rPr>
                <w:sz w:val="16"/>
              </w:rPr>
              <w:t>Query DNS dengan volume/frekuensi anomali ke satu domain</w:t>
            </w:r>
          </w:p>
        </w:tc>
        <w:tc>
          <w:tcPr>
            <w:tcW w:type="dxa" w:w="1871"/>
            <w:shd w:val="clear" w:color="auto" w:fill="FFD9A0"/>
          </w:tcPr>
          <w:p>
            <w:r>
              <w:rPr>
                <w:b/>
                <w:color w:val="8B4500"/>
                <w:sz w:val="16"/>
              </w:rPr>
              <w:t>HIGH</w:t>
            </w:r>
          </w:p>
        </w:tc>
      </w:tr>
      <w:tr>
        <w:tc>
          <w:tcPr>
            <w:tcW w:type="dxa" w:w="1871"/>
            <w:shd w:val="clear" w:color="auto" w:fill="DEEAF1"/>
          </w:tcPr>
          <w:p>
            <w:r>
              <w:rPr>
                <w:sz w:val="16"/>
              </w:rPr>
              <w:t>UC-015</w:t>
            </w:r>
          </w:p>
        </w:tc>
        <w:tc>
          <w:tcPr>
            <w:tcW w:type="dxa" w:w="1871"/>
            <w:shd w:val="clear" w:color="auto" w:fill="DEEAF1"/>
          </w:tcPr>
          <w:p>
            <w:r>
              <w:rPr>
                <w:sz w:val="16"/>
              </w:rPr>
              <w:t>Akses Berulang ke File Sensitif</w:t>
            </w:r>
          </w:p>
        </w:tc>
        <w:tc>
          <w:tcPr>
            <w:tcW w:type="dxa" w:w="1871"/>
            <w:shd w:val="clear" w:color="auto" w:fill="DEEAF1"/>
          </w:tcPr>
          <w:p>
            <w:r>
              <w:rPr>
                <w:sz w:val="16"/>
              </w:rPr>
              <w:t>DLP, File server logs</w:t>
            </w:r>
          </w:p>
        </w:tc>
        <w:tc>
          <w:tcPr>
            <w:tcW w:type="dxa" w:w="1871"/>
            <w:shd w:val="clear" w:color="auto" w:fill="DEEAF1"/>
          </w:tcPr>
          <w:p>
            <w:r>
              <w:rPr>
                <w:sz w:val="16"/>
              </w:rPr>
              <w:t>1 user mengakses &gt;100 dokumen Rahasia dalam 30 menit</w:t>
            </w:r>
          </w:p>
        </w:tc>
        <w:tc>
          <w:tcPr>
            <w:tcW w:type="dxa" w:w="1871"/>
            <w:shd w:val="clear" w:color="auto" w:fill="FFD9A0"/>
          </w:tcPr>
          <w:p>
            <w:r>
              <w:rPr>
                <w:b/>
                <w:color w:val="8B4500"/>
                <w:sz w:val="16"/>
              </w:rPr>
              <w:t>HIGH</w:t>
            </w:r>
          </w:p>
        </w:tc>
      </w:tr>
    </w:tbl>
    <w:p/>
    <w:p>
      <w:pPr>
        <w:spacing w:before="200" w:after="120"/>
      </w:pPr>
      <w:r>
        <w:rPr>
          <w:b/>
          <w:color w:val="2E74B5"/>
          <w:sz w:val="24"/>
        </w:rPr>
        <w:t>6. Struktur SOC dan Escalation Path</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Tier SOC</w:t>
            </w:r>
          </w:p>
        </w:tc>
        <w:tc>
          <w:tcPr>
            <w:tcW w:type="dxa" w:w="2339"/>
            <w:shd w:val="clear" w:color="auto" w:fill="1F497D"/>
          </w:tcPr>
          <w:p>
            <w:r>
              <w:rPr>
                <w:b/>
                <w:color w:val="FFFFFF"/>
                <w:sz w:val="18"/>
              </w:rPr>
              <w:t>Peran</w:t>
            </w:r>
          </w:p>
        </w:tc>
        <w:tc>
          <w:tcPr>
            <w:tcW w:type="dxa" w:w="2339"/>
            <w:shd w:val="clear" w:color="auto" w:fill="1F497D"/>
          </w:tcPr>
          <w:p>
            <w:r>
              <w:rPr>
                <w:b/>
                <w:color w:val="FFFFFF"/>
                <w:sz w:val="18"/>
              </w:rPr>
              <w:t>Tanggung Jawab</w:t>
            </w:r>
          </w:p>
        </w:tc>
        <w:tc>
          <w:tcPr>
            <w:tcW w:type="dxa" w:w="2339"/>
            <w:shd w:val="clear" w:color="auto" w:fill="1F497D"/>
          </w:tcPr>
          <w:p>
            <w:r>
              <w:rPr>
                <w:b/>
                <w:color w:val="FFFFFF"/>
                <w:sz w:val="18"/>
              </w:rPr>
              <w:t>Eskalasi ke</w:t>
            </w:r>
          </w:p>
        </w:tc>
      </w:tr>
      <w:tr>
        <w:tc>
          <w:tcPr>
            <w:tcW w:type="dxa" w:w="2339"/>
            <w:shd w:val="clear" w:color="auto" w:fill="DEEAF1"/>
          </w:tcPr>
          <w:p>
            <w:r>
              <w:rPr>
                <w:b/>
                <w:color w:val="1F497D"/>
                <w:sz w:val="18"/>
              </w:rPr>
              <w:t>SOC Tier 1</w:t>
            </w:r>
          </w:p>
        </w:tc>
        <w:tc>
          <w:tcPr>
            <w:tcW w:type="dxa" w:w="2339"/>
            <w:shd w:val="clear" w:color="auto" w:fill="DEEAF1"/>
          </w:tcPr>
          <w:p>
            <w:r>
              <w:rPr>
                <w:sz w:val="18"/>
              </w:rPr>
              <w:t>Alert Analyst</w:t>
            </w:r>
          </w:p>
        </w:tc>
        <w:tc>
          <w:tcPr>
            <w:tcW w:type="dxa" w:w="2339"/>
            <w:shd w:val="clear" w:color="auto" w:fill="DEEAF1"/>
          </w:tcPr>
          <w:p>
            <w:r>
              <w:rPr>
                <w:sz w:val="18"/>
              </w:rPr>
              <w:t>Triase alert SIEM, validasi false/true positive, dokumentasi awal, eksekusi playbook L1 (block IP, isolasi endpoint sederhana)</w:t>
            </w:r>
          </w:p>
        </w:tc>
        <w:tc>
          <w:tcPr>
            <w:tcW w:type="dxa" w:w="2339"/>
            <w:shd w:val="clear" w:color="auto" w:fill="DEEAF1"/>
          </w:tcPr>
          <w:p>
            <w:r>
              <w:rPr>
                <w:sz w:val="18"/>
              </w:rPr>
              <w:t>Tier 2 jika true positive atau tidak bisa diselesaikan dalam 30 menit</w:t>
            </w:r>
          </w:p>
        </w:tc>
      </w:tr>
      <w:tr>
        <w:tc>
          <w:tcPr>
            <w:tcW w:type="dxa" w:w="2339"/>
            <w:shd w:val="clear" w:color="auto" w:fill="F2F7FB"/>
          </w:tcPr>
          <w:p>
            <w:r>
              <w:rPr>
                <w:b/>
                <w:color w:val="1F497D"/>
                <w:sz w:val="18"/>
              </w:rPr>
              <w:t>SOC Tier 2</w:t>
            </w:r>
          </w:p>
        </w:tc>
        <w:tc>
          <w:tcPr>
            <w:tcW w:type="dxa" w:w="2339"/>
            <w:shd w:val="clear" w:color="auto" w:fill="F2F7FB"/>
          </w:tcPr>
          <w:p>
            <w:r>
              <w:rPr>
                <w:sz w:val="18"/>
              </w:rPr>
              <w:t>Incident Analyst</w:t>
            </w:r>
          </w:p>
        </w:tc>
        <w:tc>
          <w:tcPr>
            <w:tcW w:type="dxa" w:w="2339"/>
            <w:shd w:val="clear" w:color="auto" w:fill="F2F7FB"/>
          </w:tcPr>
          <w:p>
            <w:r>
              <w:rPr>
                <w:sz w:val="18"/>
              </w:rPr>
              <w:t>Investigasi mendalam, analisis log lanjutan, threat hunting dasar, penentuan scope insiden, eksekusi playbook L2, koordinasi respons</w:t>
            </w:r>
          </w:p>
        </w:tc>
        <w:tc>
          <w:tcPr>
            <w:tcW w:type="dxa" w:w="2339"/>
            <w:shd w:val="clear" w:color="auto" w:fill="F2F7FB"/>
          </w:tcPr>
          <w:p>
            <w:r>
              <w:rPr>
                <w:sz w:val="18"/>
              </w:rPr>
              <w:t>Tier 3 / IR Team jika insiden P1/P2</w:t>
            </w:r>
          </w:p>
        </w:tc>
      </w:tr>
      <w:tr>
        <w:tc>
          <w:tcPr>
            <w:tcW w:type="dxa" w:w="2339"/>
            <w:shd w:val="clear" w:color="auto" w:fill="DEEAF1"/>
          </w:tcPr>
          <w:p>
            <w:r>
              <w:rPr>
                <w:b/>
                <w:color w:val="1F497D"/>
                <w:sz w:val="18"/>
              </w:rPr>
              <w:t>SOC Tier 3 / IR Lead</w:t>
            </w:r>
          </w:p>
        </w:tc>
        <w:tc>
          <w:tcPr>
            <w:tcW w:type="dxa" w:w="2339"/>
            <w:shd w:val="clear" w:color="auto" w:fill="DEEAF1"/>
          </w:tcPr>
          <w:p>
            <w:r>
              <w:rPr>
                <w:sz w:val="18"/>
              </w:rPr>
              <w:t>Senior Analyst / Threat Hunter</w:t>
            </w:r>
          </w:p>
        </w:tc>
        <w:tc>
          <w:tcPr>
            <w:tcW w:type="dxa" w:w="2339"/>
            <w:shd w:val="clear" w:color="auto" w:fill="DEEAF1"/>
          </w:tcPr>
          <w:p>
            <w:r>
              <w:rPr>
                <w:sz w:val="18"/>
              </w:rPr>
              <w:t>Threat hunting lanjutan, analisis malware, forensik digital, koordinasi IR, komunikasi dengan CISO</w:t>
            </w:r>
          </w:p>
        </w:tc>
        <w:tc>
          <w:tcPr>
            <w:tcW w:type="dxa" w:w="2339"/>
            <w:shd w:val="clear" w:color="auto" w:fill="DEEAF1"/>
          </w:tcPr>
          <w:p>
            <w:r>
              <w:rPr>
                <w:sz w:val="18"/>
              </w:rPr>
              <w:t>CISO untuk insiden P1</w:t>
            </w:r>
          </w:p>
        </w:tc>
      </w:tr>
      <w:tr>
        <w:tc>
          <w:tcPr>
            <w:tcW w:type="dxa" w:w="2339"/>
            <w:shd w:val="clear" w:color="auto" w:fill="F2F7FB"/>
          </w:tcPr>
          <w:p>
            <w:r>
              <w:rPr>
                <w:b/>
                <w:color w:val="1F497D"/>
                <w:sz w:val="18"/>
              </w:rPr>
              <w:t>CISO</w:t>
            </w:r>
          </w:p>
        </w:tc>
        <w:tc>
          <w:tcPr>
            <w:tcW w:type="dxa" w:w="2339"/>
            <w:shd w:val="clear" w:color="auto" w:fill="F2F7FB"/>
          </w:tcPr>
          <w:p>
            <w:r>
              <w:rPr>
                <w:sz w:val="18"/>
              </w:rPr>
              <w:t>Chief Information Security Officer</w:t>
            </w:r>
          </w:p>
        </w:tc>
        <w:tc>
          <w:tcPr>
            <w:tcW w:type="dxa" w:w="2339"/>
            <w:shd w:val="clear" w:color="auto" w:fill="F2F7FB"/>
          </w:tcPr>
          <w:p>
            <w:r>
              <w:rPr>
                <w:sz w:val="18"/>
              </w:rPr>
              <w:t>Keputusan strategis, eskalasi ke Direksi, komunikasi regulator (OJK/BSSN), approval tindakan berdampak besar</w:t>
            </w:r>
          </w:p>
        </w:tc>
        <w:tc>
          <w:tcPr>
            <w:tcW w:type="dxa" w:w="2339"/>
            <w:shd w:val="clear" w:color="auto" w:fill="F2F7FB"/>
          </w:tcPr>
          <w:p>
            <w:r>
              <w:rPr>
                <w:sz w:val="18"/>
              </w:rPr>
              <w:t>Direksi / Manajemen</w:t>
            </w:r>
          </w:p>
        </w:tc>
      </w:tr>
    </w:tbl>
    <w:p/>
    <w:p>
      <w:r>
        <w:br w:type="page"/>
      </w:r>
    </w:p>
    <w:p>
      <w:pPr>
        <w:spacing w:before="280" w:after="120"/>
        <w:pBdr>
          <w:bottom w:val="single" w:sz="6" w:color="1F497D"/>
        </w:pBdr>
      </w:pPr>
      <w:r>
        <w:rPr>
          <w:b/>
          <w:color w:val="1F497D"/>
          <w:sz w:val="28"/>
        </w:rPr>
        <w:t>BAGIAN B — SOP PEMANTAUAN AKTIVITAS</w:t>
      </w:r>
    </w:p>
    <w:p>
      <w:pPr>
        <w:spacing w:before="200" w:after="120"/>
      </w:pPr>
      <w:r>
        <w:rPr>
          <w:b/>
          <w:color w:val="2E74B5"/>
          <w:sz w:val="24"/>
        </w:rPr>
        <w:t>SOP-AM-01: Pemantauan Real-Time dan Triage Alert</w:t>
      </w:r>
    </w:p>
    <w:tbl>
      <w:tblPr>
        <w:tblStyle w:val="TableGrid"/>
        <w:tblW w:type="auto" w:w="0"/>
        <w:tblLook w:firstColumn="1" w:firstRow="1" w:lastColumn="0" w:lastRow="0" w:noHBand="0" w:noVBand="1" w:val="04A0"/>
      </w:tblPr>
      <w:tblGrid>
        <w:gridCol w:w="9355"/>
      </w:tblGrid>
      <w:tr>
        <w:tc>
          <w:tcPr>
            <w:tcW w:type="dxa" w:w="9355"/>
            <w:shd w:val="clear" w:color="auto" w:fill="F5EEF8"/>
          </w:tcPr>
          <w:p>
            <w:pPr>
              <w:spacing w:before="120" w:after="120"/>
              <w:ind w:left="170"/>
            </w:pPr>
            <w:r>
              <w:rPr>
                <w:i/>
                <w:sz w:val="20"/>
              </w:rPr>
              <w:t>SOP ini mengatur aktivitas monitoring harian oleh SOC Tier 1 dalam mengelola alert yang dihasilkan SIEM dan tools keamanan lainnya.</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1: PEMANTAUAN DASHBOARD SOC</w:t>
            </w:r>
          </w:p>
        </w:tc>
      </w:tr>
      <w:tr>
        <w:tc>
          <w:tcPr>
            <w:tcW w:type="dxa" w:w="9355"/>
            <w:shd w:val="clear" w:color="auto" w:fill="F8F0FF"/>
          </w:tcPr>
          <w:p>
            <w:pPr>
              <w:spacing w:before="80"/>
              <w:ind w:left="170"/>
            </w:pPr>
            <w:r>
              <w:rPr>
                <w:sz w:val="20"/>
              </w:rPr>
              <w:t>SOC Analyst Tier 1 memantau dashboard SIEM secara aktif setiap shift. Prioritas pemantauan: (1) Critical alerts - respons dalam 15 menit; (2) High alerts - respons dalam 1 jam; (3) Medium alerts - respons dalam 4 jam; (4) Low alerts - review harian. Pastikan semua sumber log aktif (cek health metrics SIEM setiap jam). Catat anomali kondisi SIEM di shift log.</w:t>
            </w:r>
          </w:p>
          <w:p>
            <w:pPr>
              <w:spacing w:after="80"/>
              <w:ind w:left="170"/>
            </w:pPr>
            <w:r>
              <w:rPr>
                <w:b/>
                <w:color w:val="1F497D"/>
                <w:sz w:val="18"/>
              </w:rPr>
              <w:t xml:space="preserve">👤 SOC Analyst Tier 1   </w:t>
            </w:r>
            <w:r>
              <w:rPr>
                <w:color w:val="404040"/>
                <w:sz w:val="18"/>
              </w:rPr>
              <w:t xml:space="preserve">📥 Input: Dashboard SIEM, alert queue   </w:t>
            </w:r>
            <w:r>
              <w:rPr>
                <w:color w:val="404040"/>
                <w:sz w:val="18"/>
              </w:rPr>
              <w:t>📤 Output: Alert queue terpantau; anomali tercatat di shift log</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2: VALIDASI DAN TRIAGE ALERT</w:t>
            </w:r>
          </w:p>
        </w:tc>
      </w:tr>
      <w:tr>
        <w:tc>
          <w:tcPr>
            <w:tcW w:type="dxa" w:w="9355"/>
            <w:shd w:val="clear" w:color="auto" w:fill="F8F0FF"/>
          </w:tcPr>
          <w:p>
            <w:pPr>
              <w:spacing w:before="80"/>
              <w:ind w:left="170"/>
            </w:pPr>
            <w:r>
              <w:rPr>
                <w:sz w:val="20"/>
              </w:rPr>
              <w:t>Untuk setiap alert, lakukan triage: (a) Kumpulkan konteks: user, sistem, waktu, lokasi, aktivitas sebelumnya; (b) Cek riwayat alert yang sama dari user/IP tersebut; (c) Cross-reference dengan change management calendar (apakah ada perubahan terjadwal?); (d) Cek whitelist dan exception list; (e) Tentukan: False Positive (dokumentasikan dan tutup dengan alasan) atau True Positive (lanjut ke Langkah 3).</w:t>
            </w:r>
          </w:p>
          <w:p>
            <w:pPr>
              <w:spacing w:after="80"/>
              <w:ind w:left="170"/>
            </w:pPr>
            <w:r>
              <w:rPr>
                <w:b/>
                <w:color w:val="1F497D"/>
                <w:sz w:val="18"/>
              </w:rPr>
              <w:t xml:space="preserve">👤 SOC Analyst Tier 1   </w:t>
            </w:r>
            <w:r>
              <w:rPr>
                <w:color w:val="404040"/>
                <w:sz w:val="18"/>
              </w:rPr>
              <w:t xml:space="preserve">📥 Input: Alert detail + konteks log   </w:t>
            </w:r>
            <w:r>
              <w:rPr>
                <w:color w:val="404040"/>
                <w:sz w:val="18"/>
              </w:rPr>
              <w:t>📤 Output: Klasifikasi FP/TP; tiket dibuat</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3: RESPONS AWAL (INITIAL RESPONSE)</w:t>
            </w:r>
          </w:p>
        </w:tc>
      </w:tr>
      <w:tr>
        <w:tc>
          <w:tcPr>
            <w:tcW w:type="dxa" w:w="9355"/>
            <w:shd w:val="clear" w:color="auto" w:fill="F8F0FF"/>
          </w:tcPr>
          <w:p>
            <w:pPr>
              <w:spacing w:before="80"/>
              <w:ind w:left="170"/>
            </w:pPr>
            <w:r>
              <w:rPr>
                <w:sz w:val="20"/>
              </w:rPr>
              <w:t>Untuk True Positive: (a) Buat tiket insiden dengan severity sesuai klasifikasi; (b) Kumpulkan bukti awal (screenshot, log extract); (c) Eksekusi playbook yang sesuai untuk tindakan containment awal (blokir IP, isolasi endpoint, nonaktifkan akun); (d) Notifikasi SOC Lead; (e) Jika severity High/Critical: eskalasi segera ke Tier 2 dan hubungi SOC Lead via telepon (bukan hanya chat).</w:t>
            </w:r>
          </w:p>
          <w:p>
            <w:pPr>
              <w:spacing w:after="80"/>
              <w:ind w:left="170"/>
            </w:pPr>
            <w:r>
              <w:rPr>
                <w:b/>
                <w:color w:val="1F497D"/>
                <w:sz w:val="18"/>
              </w:rPr>
              <w:t xml:space="preserve">👤 SOC Analyst Tier 1   </w:t>
            </w:r>
            <w:r>
              <w:rPr>
                <w:color w:val="404040"/>
                <w:sz w:val="18"/>
              </w:rPr>
              <w:t xml:space="preserve">📥 Input: Klasifikasi TP + playbook   </w:t>
            </w:r>
            <w:r>
              <w:rPr>
                <w:color w:val="404040"/>
                <w:sz w:val="18"/>
              </w:rPr>
              <w:t>📤 Output: Tiket insiden + containment awal + notifikasi</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4: HANDOVER DAN DOKUMENTASI SHIFT</w:t>
            </w:r>
          </w:p>
        </w:tc>
      </w:tr>
      <w:tr>
        <w:tc>
          <w:tcPr>
            <w:tcW w:type="dxa" w:w="9355"/>
            <w:shd w:val="clear" w:color="auto" w:fill="F8F0FF"/>
          </w:tcPr>
          <w:p>
            <w:pPr>
              <w:spacing w:before="80"/>
              <w:ind w:left="170"/>
            </w:pPr>
            <w:r>
              <w:rPr>
                <w:sz w:val="20"/>
              </w:rPr>
              <w:t>Di akhir setiap shift, buat Shift Handover Report yang mencakup: (a) Alert yang ditangani dan statusnya; (b) Insiden yang masih open dan progress-nya; (c) Kondisi platform monitoring (uptime, anomali); (d) Item yang perlu dimonitor shift berikutnya. Lakukan briefing handover minimal 15 menit dengan tim shift berikutnya.</w:t>
            </w:r>
          </w:p>
          <w:p>
            <w:pPr>
              <w:spacing w:after="80"/>
              <w:ind w:left="170"/>
            </w:pPr>
            <w:r>
              <w:rPr>
                <w:b/>
                <w:color w:val="1F497D"/>
                <w:sz w:val="18"/>
              </w:rPr>
              <w:t xml:space="preserve">👤 SOC Analyst Tier 1   </w:t>
            </w:r>
            <w:r>
              <w:rPr>
                <w:color w:val="404040"/>
                <w:sz w:val="18"/>
              </w:rPr>
              <w:t xml:space="preserve">📥 Input: Catatan shift, tiket terbuka   </w:t>
            </w:r>
            <w:r>
              <w:rPr>
                <w:color w:val="404040"/>
                <w:sz w:val="18"/>
              </w:rPr>
              <w:t>📤 Output: Shift Handover Report</w:t>
            </w:r>
          </w:p>
        </w:tc>
      </w:tr>
    </w:tbl>
    <w:p>
      <w:pPr>
        <w:spacing w:after="40"/>
      </w:pPr>
    </w:p>
    <w:p/>
    <w:p>
      <w:pPr>
        <w:spacing w:before="200" w:after="120"/>
      </w:pPr>
      <w:r>
        <w:rPr>
          <w:b/>
          <w:color w:val="2E74B5"/>
          <w:sz w:val="24"/>
        </w:rPr>
        <w:t>SOP-AM-02: Investigasi Insiden Keamanan</w:t>
      </w:r>
    </w:p>
    <w:tbl>
      <w:tblPr>
        <w:tblStyle w:val="TableGrid"/>
        <w:tblW w:type="auto" w:w="0"/>
        <w:tblLook w:firstColumn="1" w:firstRow="1" w:lastColumn="0" w:lastRow="0" w:noHBand="0" w:noVBand="1" w:val="04A0"/>
      </w:tblPr>
      <w:tblGrid>
        <w:gridCol w:w="9355"/>
      </w:tblGrid>
      <w:tr>
        <w:tc>
          <w:tcPr>
            <w:tcW w:type="dxa" w:w="9355"/>
            <w:shd w:val="clear" w:color="auto" w:fill="F5EEF8"/>
          </w:tcPr>
          <w:p>
            <w:pPr>
              <w:spacing w:before="120" w:after="120"/>
              <w:ind w:left="170"/>
            </w:pPr>
            <w:r>
              <w:rPr>
                <w:i/>
                <w:sz w:val="20"/>
              </w:rPr>
              <w:t>SOP ini mengatur proses investigasi mendalam oleh SOC Tier 2/3 untuk insiden yang tidak dapat diselesaikan di Tier 1, atau untuk insiden dengan severity High/Critical.</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1: PENERIMAAN DAN SCOPING INSIDEN</w:t>
            </w:r>
          </w:p>
        </w:tc>
      </w:tr>
      <w:tr>
        <w:tc>
          <w:tcPr>
            <w:tcW w:type="dxa" w:w="9355"/>
            <w:shd w:val="clear" w:color="auto" w:fill="F8F0FF"/>
          </w:tcPr>
          <w:p>
            <w:pPr>
              <w:spacing w:before="80"/>
              <w:ind w:left="170"/>
            </w:pPr>
            <w:r>
              <w:rPr>
                <w:sz w:val="20"/>
              </w:rPr>
              <w:t>Tier 2 menerima eskalasi dari Tier 1. Lakukan scoping awal dalam 30 menit pertama: (a) Identifikasi semua sistem yang terdampak menggunakan SIEM (timeline serangan, pivot dari IoC awal); (b) Tentukan patient zero (sistem pertama yang dikompromikan); (c) Identifikasi attack vector; (d) Estimasi data yang mungkin terekspos; (e) Perbarui severity tiket berdasarkan temuan.</w:t>
            </w:r>
          </w:p>
          <w:p>
            <w:pPr>
              <w:spacing w:after="80"/>
              <w:ind w:left="170"/>
            </w:pPr>
            <w:r>
              <w:rPr>
                <w:b/>
                <w:color w:val="1F497D"/>
                <w:sz w:val="18"/>
              </w:rPr>
              <w:t xml:space="preserve">👤 SOC Analyst Tier 2   </w:t>
            </w:r>
            <w:r>
              <w:rPr>
                <w:color w:val="404040"/>
                <w:sz w:val="18"/>
              </w:rPr>
              <w:t xml:space="preserve">📥 Input: Tiket eskalasi + log SIEM + EDR data   </w:t>
            </w:r>
            <w:r>
              <w:rPr>
                <w:color w:val="404040"/>
                <w:sz w:val="18"/>
              </w:rPr>
              <w:t>📤 Output: Scope insiden + timeline serangan awal</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2: ANALISIS TIMELINE DAN ARTIFACT</w:t>
            </w:r>
          </w:p>
        </w:tc>
      </w:tr>
      <w:tr>
        <w:tc>
          <w:tcPr>
            <w:tcW w:type="dxa" w:w="9355"/>
            <w:shd w:val="clear" w:color="auto" w:fill="F8F0FF"/>
          </w:tcPr>
          <w:p>
            <w:pPr>
              <w:spacing w:before="80"/>
              <w:ind w:left="170"/>
            </w:pPr>
            <w:r>
              <w:rPr>
                <w:sz w:val="20"/>
              </w:rPr>
              <w:t>Bangun timeline serangan yang komprehensif: (a) Korelasikan log dari semua sumber (endpoint, jaringan, aplikasi, identitas); (b) Identifikasi semua IoC baru (IP, domain, hash, registry key, file path); (c) Petakan teknik serangan ke MITRE ATT&amp;CK Framework; (d) Analisis malware jika ditemukan (static analysis via sandbox); (e) Dokumentasikan setiap temuan dengan timestamp dan sumber bukti.</w:t>
            </w:r>
          </w:p>
          <w:p>
            <w:pPr>
              <w:spacing w:after="80"/>
              <w:ind w:left="170"/>
            </w:pPr>
            <w:r>
              <w:rPr>
                <w:b/>
                <w:color w:val="1F497D"/>
                <w:sz w:val="18"/>
              </w:rPr>
              <w:t xml:space="preserve">👤 SOC Analyst Tier 2/3   </w:t>
            </w:r>
            <w:r>
              <w:rPr>
                <w:color w:val="404040"/>
                <w:sz w:val="18"/>
              </w:rPr>
              <w:t xml:space="preserve">📥 Input: Log multi-sumber + EDR artifacts + memory dumps (jika ada)   </w:t>
            </w:r>
            <w:r>
              <w:rPr>
                <w:color w:val="404040"/>
                <w:sz w:val="18"/>
              </w:rPr>
              <w:t>📤 Output: Attack timeline + IoC list + MITRE ATT&amp;CK mapping</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3: CONTAINMENT DAN ERADICATION</w:t>
            </w:r>
          </w:p>
        </w:tc>
      </w:tr>
      <w:tr>
        <w:tc>
          <w:tcPr>
            <w:tcW w:type="dxa" w:w="9355"/>
            <w:shd w:val="clear" w:color="auto" w:fill="F8F0FF"/>
          </w:tcPr>
          <w:p>
            <w:pPr>
              <w:spacing w:before="80"/>
              <w:ind w:left="170"/>
            </w:pPr>
            <w:r>
              <w:rPr>
                <w:sz w:val="20"/>
              </w:rPr>
              <w:t>Berkoordinasi dengan Tim IT untuk melaksanakan: (a) Network isolation untuk host yang dikompromikan (jangan shutdown - pertahankan forensik memori); (b) Revoke semua credential yang berpotensi dikompromikan; (c) Blokir semua IoC baru yang ditemukan di seluruh kontrol keamanan (update SIEM, firewall, proxy, EDR); (d) Patch atau mitigasi kerentanan yang dieksploitasi; (e) Verifikasi eradikasi lengkap sebelum restore ke produksi.</w:t>
            </w:r>
          </w:p>
          <w:p>
            <w:pPr>
              <w:spacing w:after="80"/>
              <w:ind w:left="170"/>
            </w:pPr>
            <w:r>
              <w:rPr>
                <w:b/>
                <w:color w:val="1F497D"/>
                <w:sz w:val="18"/>
              </w:rPr>
              <w:t xml:space="preserve">👤 SOC Tier 2/3 + Tim IT   </w:t>
            </w:r>
            <w:r>
              <w:rPr>
                <w:color w:val="404040"/>
                <w:sz w:val="18"/>
              </w:rPr>
              <w:t xml:space="preserve">📥 Input: Attack timeline + IoC list   </w:t>
            </w:r>
            <w:r>
              <w:rPr>
                <w:color w:val="404040"/>
                <w:sz w:val="18"/>
              </w:rPr>
              <w:t>📤 Output: Sistem terkontain; IoC diblokir; kerentanan ter-patch</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4: RECOVERY DAN VALIDASI</w:t>
            </w:r>
          </w:p>
        </w:tc>
      </w:tr>
      <w:tr>
        <w:tc>
          <w:tcPr>
            <w:tcW w:type="dxa" w:w="9355"/>
            <w:shd w:val="clear" w:color="auto" w:fill="F8F0FF"/>
          </w:tcPr>
          <w:p>
            <w:pPr>
              <w:spacing w:before="80"/>
              <w:ind w:left="170"/>
            </w:pPr>
            <w:r>
              <w:rPr>
                <w:sz w:val="20"/>
              </w:rPr>
              <w:t>Setelah eradikasi dikonfirmasi: (a) Restore sistem dari backup yang bersih; (b) Pastikan backup yang digunakan dibuat sebelum kompromi terjadi; (c) Lakukan security scan penuh setelah restore; (d) Monitoring ketat sistem yang dipulihkan selama 72 jam pertama; (e) Verifikasi bahwa threat actor tidak lagi memiliki persistence di environment.</w:t>
            </w:r>
          </w:p>
          <w:p>
            <w:pPr>
              <w:spacing w:after="80"/>
              <w:ind w:left="170"/>
            </w:pPr>
            <w:r>
              <w:rPr>
                <w:b/>
                <w:color w:val="1F497D"/>
                <w:sz w:val="18"/>
              </w:rPr>
              <w:t xml:space="preserve">👤 Tim IT + SOC   </w:t>
            </w:r>
            <w:r>
              <w:rPr>
                <w:color w:val="404040"/>
                <w:sz w:val="18"/>
              </w:rPr>
              <w:t xml:space="preserve">📥 Input: Backup bersih; sistem ter-eradikasi   </w:t>
            </w:r>
            <w:r>
              <w:rPr>
                <w:color w:val="404040"/>
                <w:sz w:val="18"/>
              </w:rPr>
              <w:t>📤 Output: Sistem produksi pulih + monitoring intensif aktif</w:t>
            </w:r>
          </w:p>
        </w:tc>
      </w:tr>
    </w:tbl>
    <w:p>
      <w:pPr>
        <w:spacing w:after="40"/>
      </w:pPr>
    </w:p>
    <w:p/>
    <w:p>
      <w:pPr>
        <w:spacing w:before="200" w:after="120"/>
      </w:pPr>
      <w:r>
        <w:rPr>
          <w:b/>
          <w:color w:val="2E74B5"/>
          <w:sz w:val="24"/>
        </w:rPr>
        <w:t>SOP-AM-03: Review Log Periodik dan Tuning SIEM</w:t>
      </w:r>
    </w:p>
    <w:tbl>
      <w:tblPr>
        <w:tblStyle w:val="TableGrid"/>
        <w:tblW w:type="auto" w:w="0"/>
        <w:tblLook w:firstColumn="1" w:firstRow="1" w:lastColumn="0" w:lastRow="0" w:noHBand="0" w:noVBand="1" w:val="04A0"/>
      </w:tblPr>
      <w:tblGrid>
        <w:gridCol w:w="9355"/>
      </w:tblGrid>
      <w:tr>
        <w:tc>
          <w:tcPr>
            <w:tcW w:type="dxa" w:w="9355"/>
            <w:shd w:val="clear" w:color="auto" w:fill="F5EEF8"/>
          </w:tcPr>
          <w:p>
            <w:pPr>
              <w:spacing w:before="120" w:after="120"/>
              <w:ind w:left="170"/>
            </w:pPr>
            <w:r>
              <w:rPr>
                <w:i/>
                <w:sz w:val="20"/>
              </w:rPr>
              <w:t>SOP ini mengatur review log periodik dan tuning rules SIEM untuk mempertahankan kualitas deteksi dan mengurangi alert fatigue.</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1: REVIEW LOG HARIAN</w:t>
            </w:r>
          </w:p>
        </w:tc>
      </w:tr>
      <w:tr>
        <w:tc>
          <w:tcPr>
            <w:tcW w:type="dxa" w:w="9355"/>
            <w:shd w:val="clear" w:color="auto" w:fill="F8F0FF"/>
          </w:tcPr>
          <w:p>
            <w:pPr>
              <w:spacing w:before="80"/>
              <w:ind w:left="170"/>
            </w:pPr>
            <w:r>
              <w:rPr>
                <w:sz w:val="20"/>
              </w:rPr>
              <w:t>Setiap hari kerja, SOC Analyst melakukan review log untuk aktivitas berikut yang tidak selalu menghasilkan alert otomatis: (a) Login akun privileged di luar jam kerja; (b) Akses berulang ke file/data sensitif dalam volume tidak wajar; (c) Perubahan konfigurasi sistem kritis; (d) Aktivitas scheduled task baru atau tidak dikenal; (e) DNS queries ke domain yang baru terdaftar (&lt;30 hari). Waktu yang dialokasikan: 1 jam per analis.</w:t>
            </w:r>
          </w:p>
          <w:p>
            <w:pPr>
              <w:spacing w:after="80"/>
              <w:ind w:left="170"/>
            </w:pPr>
            <w:r>
              <w:rPr>
                <w:b/>
                <w:color w:val="1F497D"/>
                <w:sz w:val="18"/>
              </w:rPr>
              <w:t xml:space="preserve">👤 SOC Analyst   </w:t>
            </w:r>
            <w:r>
              <w:rPr>
                <w:color w:val="404040"/>
                <w:sz w:val="18"/>
              </w:rPr>
              <w:t xml:space="preserve">📥 Input: SIEM dashboard + log query templates   </w:t>
            </w:r>
            <w:r>
              <w:rPr>
                <w:color w:val="404040"/>
                <w:sz w:val="18"/>
              </w:rPr>
              <w:t>📤 Output: Log review report harian</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2: TUNING DAN OPTIMASI ALERT RULES</w:t>
            </w:r>
          </w:p>
        </w:tc>
      </w:tr>
      <w:tr>
        <w:tc>
          <w:tcPr>
            <w:tcW w:type="dxa" w:w="9355"/>
            <w:shd w:val="clear" w:color="auto" w:fill="F8F0FF"/>
          </w:tcPr>
          <w:p>
            <w:pPr>
              <w:spacing w:before="80"/>
              <w:ind w:left="170"/>
            </w:pPr>
            <w:r>
              <w:rPr>
                <w:sz w:val="20"/>
              </w:rPr>
              <w:t>Setiap bulan, SOC Lead dan Threat Intel Analyst melakukan tuning SIEM: (a) Identifikasi alert dengan false positive rate tinggi (&gt;40%) dan perbaiki threshold atau tambahkan filter; (b) Identifikasi use case baru berdasarkan threat intel terkini dan insiden yang terjadi; (c) Evaluasi coverage: gunakan MITRE ATT&amp;CK Coverage Matrix untuk mengetahui teknik mana yang belum ter-cover; (d) Archive atau disable alert yang sudah usang. Target: kurangi false positive rate bulan berikutnya minimal 10%.</w:t>
            </w:r>
          </w:p>
          <w:p>
            <w:pPr>
              <w:spacing w:after="80"/>
              <w:ind w:left="170"/>
            </w:pPr>
            <w:r>
              <w:rPr>
                <w:b/>
                <w:color w:val="1F497D"/>
                <w:sz w:val="18"/>
              </w:rPr>
              <w:t xml:space="preserve">👤 SOC Lead + Threat Intel Analyst   </w:t>
            </w:r>
            <w:r>
              <w:rPr>
                <w:color w:val="404040"/>
                <w:sz w:val="18"/>
              </w:rPr>
              <w:t xml:space="preserve">📥 Input: Alert statistics, FP/TP rate report, TI reports   </w:t>
            </w:r>
            <w:r>
              <w:rPr>
                <w:color w:val="404040"/>
                <w:sz w:val="18"/>
              </w:rPr>
              <w:t>📤 Output: Updated SIEM rules + tuning report</w:t>
            </w:r>
          </w:p>
        </w:tc>
      </w:tr>
    </w:tbl>
    <w:p>
      <w:pPr>
        <w:spacing w:after="40"/>
      </w:pPr>
    </w:p>
    <w:tbl>
      <w:tblPr>
        <w:tblStyle w:val="TableGrid"/>
        <w:tblW w:type="auto" w:w="0"/>
        <w:tblLook w:firstColumn="1" w:firstRow="1" w:lastColumn="0" w:lastRow="0" w:noHBand="0" w:noVBand="1" w:val="04A0"/>
      </w:tblPr>
      <w:tblGrid>
        <w:gridCol w:w="9355"/>
      </w:tblGrid>
      <w:tr>
        <w:tc>
          <w:tcPr>
            <w:tcW w:type="dxa" w:w="9355"/>
            <w:shd w:val="clear" w:color="auto" w:fill="4A235A"/>
          </w:tcPr>
          <w:p>
            <w:pPr>
              <w:spacing w:before="80" w:after="80"/>
            </w:pPr>
            <w:r>
              <w:rPr>
                <w:b/>
                <w:color w:val="FFFFFF"/>
                <w:sz w:val="20"/>
              </w:rPr>
              <w:t xml:space="preserve">  Langkah 3: PELAPORAN BULANAN</w:t>
            </w:r>
          </w:p>
        </w:tc>
      </w:tr>
      <w:tr>
        <w:tc>
          <w:tcPr>
            <w:tcW w:type="dxa" w:w="9355"/>
            <w:shd w:val="clear" w:color="auto" w:fill="F8F0FF"/>
          </w:tcPr>
          <w:p>
            <w:pPr>
              <w:spacing w:before="80"/>
              <w:ind w:left="170"/>
            </w:pPr>
            <w:r>
              <w:rPr>
                <w:sz w:val="20"/>
              </w:rPr>
              <w:t>Pada minggu pertama setiap bulan, SOC Lead menyusun Monthly Security Monitoring Report yang mencakup: (a) Jumlah dan tren alert per severity; (b) Top 10 use case yang paling banyak trigger; (c) Mean Time to Detect (MTTD) dan Mean Time to Respond (MTTR); (d) Insiden yang terjadi dan status resolusinya; (e) Coverage log sources (% sumber aktif); (f) Rekomendasi perbaikan. Laporan dikirim ke CISO, Kepala IT, dan tim Risk.</w:t>
            </w:r>
          </w:p>
          <w:p>
            <w:pPr>
              <w:spacing w:after="80"/>
              <w:ind w:left="170"/>
            </w:pPr>
            <w:r>
              <w:rPr>
                <w:b/>
                <w:color w:val="1F497D"/>
                <w:sz w:val="18"/>
              </w:rPr>
              <w:t xml:space="preserve">👤 SOC Lead   </w:t>
            </w:r>
            <w:r>
              <w:rPr>
                <w:color w:val="404040"/>
                <w:sz w:val="18"/>
              </w:rPr>
              <w:t xml:space="preserve">📥 Input: Data SIEM bulanan, tiket insiden, shift logs   </w:t>
            </w:r>
            <w:r>
              <w:rPr>
                <w:color w:val="404040"/>
                <w:sz w:val="18"/>
              </w:rPr>
              <w:t>📤 Output: Monthly Security Monitoring Report</w:t>
            </w:r>
          </w:p>
        </w:tc>
      </w:tr>
    </w:tbl>
    <w:p>
      <w:pPr>
        <w:spacing w:after="40"/>
      </w:pPr>
    </w:p>
    <w:p/>
    <w:p>
      <w:pPr>
        <w:spacing w:before="200" w:after="120"/>
      </w:pPr>
      <w:r>
        <w:rPr>
          <w:b/>
          <w:color w:val="2E74B5"/>
          <w:sz w:val="24"/>
        </w:rPr>
        <w:t>7. Indikator Kinerja (KPI) Pemantauan Aktivitas</w:t>
      </w:r>
    </w:p>
    <w:tbl>
      <w:tblPr>
        <w:tblStyle w:val="TableGrid"/>
        <w:tblW w:type="auto" w:w="0"/>
        <w:tblLook w:firstColumn="1" w:firstRow="1" w:lastColumn="0" w:lastRow="0" w:noHBand="0" w:noVBand="1" w:val="04A0"/>
      </w:tblPr>
      <w:tblGrid>
        <w:gridCol w:w="2339"/>
        <w:gridCol w:w="2339"/>
        <w:gridCol w:w="2339"/>
        <w:gridCol w:w="2339"/>
      </w:tblGrid>
      <w:tr>
        <w:tc>
          <w:tcPr>
            <w:tcW w:type="dxa" w:w="2339"/>
            <w:shd w:val="clear" w:color="auto" w:fill="1F497D"/>
          </w:tcPr>
          <w:p>
            <w:r>
              <w:rPr>
                <w:b/>
                <w:color w:val="FFFFFF"/>
                <w:sz w:val="18"/>
              </w:rPr>
              <w:t>Metrik</w:t>
            </w:r>
          </w:p>
        </w:tc>
        <w:tc>
          <w:tcPr>
            <w:tcW w:type="dxa" w:w="2339"/>
            <w:shd w:val="clear" w:color="auto" w:fill="1F497D"/>
          </w:tcPr>
          <w:p>
            <w:r>
              <w:rPr>
                <w:b/>
                <w:color w:val="FFFFFF"/>
                <w:sz w:val="18"/>
              </w:rPr>
              <w:t>Deskripsi</w:t>
            </w:r>
          </w:p>
        </w:tc>
        <w:tc>
          <w:tcPr>
            <w:tcW w:type="dxa" w:w="2339"/>
            <w:shd w:val="clear" w:color="auto" w:fill="1F497D"/>
          </w:tcPr>
          <w:p>
            <w:r>
              <w:rPr>
                <w:b/>
                <w:color w:val="FFFFFF"/>
                <w:sz w:val="18"/>
              </w:rPr>
              <w:t>Target</w:t>
            </w:r>
          </w:p>
        </w:tc>
        <w:tc>
          <w:tcPr>
            <w:tcW w:type="dxa" w:w="2339"/>
            <w:shd w:val="clear" w:color="auto" w:fill="1F497D"/>
          </w:tcPr>
          <w:p>
            <w:r>
              <w:rPr>
                <w:b/>
                <w:color w:val="FFFFFF"/>
                <w:sz w:val="18"/>
              </w:rPr>
              <w:t>Frekuensi</w:t>
            </w:r>
          </w:p>
        </w:tc>
      </w:tr>
      <w:tr>
        <w:tc>
          <w:tcPr>
            <w:tcW w:type="dxa" w:w="2339"/>
            <w:shd w:val="clear" w:color="auto" w:fill="DEEAF1"/>
          </w:tcPr>
          <w:p>
            <w:r>
              <w:rPr>
                <w:sz w:val="18"/>
              </w:rPr>
              <w:t>MTTD - Mean Time to Detect</w:t>
            </w:r>
          </w:p>
        </w:tc>
        <w:tc>
          <w:tcPr>
            <w:tcW w:type="dxa" w:w="2339"/>
            <w:shd w:val="clear" w:color="auto" w:fill="DEEAF1"/>
          </w:tcPr>
          <w:p>
            <w:r>
              <w:rPr>
                <w:sz w:val="18"/>
              </w:rPr>
              <w:t>Waktu rata-rata dari serangan dimulai hingga terdeteksi</w:t>
            </w:r>
          </w:p>
        </w:tc>
        <w:tc>
          <w:tcPr>
            <w:tcW w:type="dxa" w:w="2339"/>
            <w:shd w:val="clear" w:color="auto" w:fill="DEEAF1"/>
          </w:tcPr>
          <w:p>
            <w:r>
              <w:rPr>
                <w:sz w:val="18"/>
              </w:rPr>
              <w:t>&lt;= 1 jam (kritis)</w:t>
            </w:r>
          </w:p>
        </w:tc>
        <w:tc>
          <w:tcPr>
            <w:tcW w:type="dxa" w:w="2339"/>
            <w:shd w:val="clear" w:color="auto" w:fill="DEEAF1"/>
          </w:tcPr>
          <w:p>
            <w:r>
              <w:rPr>
                <w:sz w:val="18"/>
              </w:rPr>
              <w:t>Bulanan</w:t>
            </w:r>
          </w:p>
        </w:tc>
      </w:tr>
      <w:tr>
        <w:tc>
          <w:tcPr>
            <w:tcW w:type="dxa" w:w="2339"/>
            <w:shd w:val="clear" w:color="auto" w:fill="F2F7FB"/>
          </w:tcPr>
          <w:p>
            <w:r>
              <w:rPr>
                <w:sz w:val="18"/>
              </w:rPr>
              <w:t>MTTR - Mean Time to Respond</w:t>
            </w:r>
          </w:p>
        </w:tc>
        <w:tc>
          <w:tcPr>
            <w:tcW w:type="dxa" w:w="2339"/>
            <w:shd w:val="clear" w:color="auto" w:fill="F2F7FB"/>
          </w:tcPr>
          <w:p>
            <w:r>
              <w:rPr>
                <w:sz w:val="18"/>
              </w:rPr>
              <w:t>Waktu rata-rata dari alert terbuat hingga tindakan respons diambil</w:t>
            </w:r>
          </w:p>
        </w:tc>
        <w:tc>
          <w:tcPr>
            <w:tcW w:type="dxa" w:w="2339"/>
            <w:shd w:val="clear" w:color="auto" w:fill="F2F7FB"/>
          </w:tcPr>
          <w:p>
            <w:r>
              <w:rPr>
                <w:sz w:val="18"/>
              </w:rPr>
              <w:t>&lt;= 15 mnt (P1), 1 jam (P2)</w:t>
            </w:r>
          </w:p>
        </w:tc>
        <w:tc>
          <w:tcPr>
            <w:tcW w:type="dxa" w:w="2339"/>
            <w:shd w:val="clear" w:color="auto" w:fill="F2F7FB"/>
          </w:tcPr>
          <w:p>
            <w:r>
              <w:rPr>
                <w:sz w:val="18"/>
              </w:rPr>
              <w:t>Bulanan</w:t>
            </w:r>
          </w:p>
        </w:tc>
      </w:tr>
      <w:tr>
        <w:tc>
          <w:tcPr>
            <w:tcW w:type="dxa" w:w="2339"/>
            <w:shd w:val="clear" w:color="auto" w:fill="DEEAF1"/>
          </w:tcPr>
          <w:p>
            <w:r>
              <w:rPr>
                <w:sz w:val="18"/>
              </w:rPr>
              <w:t>Alert False Positive Rate</w:t>
            </w:r>
          </w:p>
        </w:tc>
        <w:tc>
          <w:tcPr>
            <w:tcW w:type="dxa" w:w="2339"/>
            <w:shd w:val="clear" w:color="auto" w:fill="DEEAF1"/>
          </w:tcPr>
          <w:p>
            <w:r>
              <w:rPr>
                <w:sz w:val="18"/>
              </w:rPr>
              <w:t>% alert SIEM yang ternyata false positive</w:t>
            </w:r>
          </w:p>
        </w:tc>
        <w:tc>
          <w:tcPr>
            <w:tcW w:type="dxa" w:w="2339"/>
            <w:shd w:val="clear" w:color="auto" w:fill="DEEAF1"/>
          </w:tcPr>
          <w:p>
            <w:r>
              <w:rPr>
                <w:sz w:val="18"/>
              </w:rPr>
              <w:t>&lt;= 20%</w:t>
            </w:r>
          </w:p>
        </w:tc>
        <w:tc>
          <w:tcPr>
            <w:tcW w:type="dxa" w:w="2339"/>
            <w:shd w:val="clear" w:color="auto" w:fill="DEEAF1"/>
          </w:tcPr>
          <w:p>
            <w:r>
              <w:rPr>
                <w:sz w:val="18"/>
              </w:rPr>
              <w:t>Bulanan</w:t>
            </w:r>
          </w:p>
        </w:tc>
      </w:tr>
      <w:tr>
        <w:tc>
          <w:tcPr>
            <w:tcW w:type="dxa" w:w="2339"/>
            <w:shd w:val="clear" w:color="auto" w:fill="F2F7FB"/>
          </w:tcPr>
          <w:p>
            <w:r>
              <w:rPr>
                <w:sz w:val="18"/>
              </w:rPr>
              <w:t>Log Source Availability</w:t>
            </w:r>
          </w:p>
        </w:tc>
        <w:tc>
          <w:tcPr>
            <w:tcW w:type="dxa" w:w="2339"/>
            <w:shd w:val="clear" w:color="auto" w:fill="F2F7FB"/>
          </w:tcPr>
          <w:p>
            <w:r>
              <w:rPr>
                <w:sz w:val="18"/>
              </w:rPr>
              <w:t>% sumber log yang aktif mengirim ke SIEM</w:t>
            </w:r>
          </w:p>
        </w:tc>
        <w:tc>
          <w:tcPr>
            <w:tcW w:type="dxa" w:w="2339"/>
            <w:shd w:val="clear" w:color="auto" w:fill="F2F7FB"/>
          </w:tcPr>
          <w:p>
            <w:r>
              <w:rPr>
                <w:sz w:val="18"/>
              </w:rPr>
              <w:t>&gt;= 98%</w:t>
            </w:r>
          </w:p>
        </w:tc>
        <w:tc>
          <w:tcPr>
            <w:tcW w:type="dxa" w:w="2339"/>
            <w:shd w:val="clear" w:color="auto" w:fill="F2F7FB"/>
          </w:tcPr>
          <w:p>
            <w:r>
              <w:rPr>
                <w:sz w:val="18"/>
              </w:rPr>
              <w:t>Harian</w:t>
            </w:r>
          </w:p>
        </w:tc>
      </w:tr>
      <w:tr>
        <w:tc>
          <w:tcPr>
            <w:tcW w:type="dxa" w:w="2339"/>
            <w:shd w:val="clear" w:color="auto" w:fill="DEEAF1"/>
          </w:tcPr>
          <w:p>
            <w:r>
              <w:rPr>
                <w:sz w:val="18"/>
              </w:rPr>
              <w:t>MITRE ATT&amp;CK Coverage</w:t>
            </w:r>
          </w:p>
        </w:tc>
        <w:tc>
          <w:tcPr>
            <w:tcW w:type="dxa" w:w="2339"/>
            <w:shd w:val="clear" w:color="auto" w:fill="DEEAF1"/>
          </w:tcPr>
          <w:p>
            <w:r>
              <w:rPr>
                <w:sz w:val="18"/>
              </w:rPr>
              <w:t>% teknik MITRE ATT&amp;CK yang ter-cover oleh detection rules</w:t>
            </w:r>
          </w:p>
        </w:tc>
        <w:tc>
          <w:tcPr>
            <w:tcW w:type="dxa" w:w="2339"/>
            <w:shd w:val="clear" w:color="auto" w:fill="DEEAF1"/>
          </w:tcPr>
          <w:p>
            <w:r>
              <w:rPr>
                <w:sz w:val="18"/>
              </w:rPr>
              <w:t>&gt;= 70%</w:t>
            </w:r>
          </w:p>
        </w:tc>
        <w:tc>
          <w:tcPr>
            <w:tcW w:type="dxa" w:w="2339"/>
            <w:shd w:val="clear" w:color="auto" w:fill="DEEAF1"/>
          </w:tcPr>
          <w:p>
            <w:r>
              <w:rPr>
                <w:sz w:val="18"/>
              </w:rPr>
              <w:t>Kuartalan</w:t>
            </w:r>
          </w:p>
        </w:tc>
      </w:tr>
      <w:tr>
        <w:tc>
          <w:tcPr>
            <w:tcW w:type="dxa" w:w="2339"/>
            <w:shd w:val="clear" w:color="auto" w:fill="F2F7FB"/>
          </w:tcPr>
          <w:p>
            <w:r>
              <w:rPr>
                <w:sz w:val="18"/>
              </w:rPr>
              <w:t>Threat Hunt per Kuartal</w:t>
            </w:r>
          </w:p>
        </w:tc>
        <w:tc>
          <w:tcPr>
            <w:tcW w:type="dxa" w:w="2339"/>
            <w:shd w:val="clear" w:color="auto" w:fill="F2F7FB"/>
          </w:tcPr>
          <w:p>
            <w:r>
              <w:rPr>
                <w:sz w:val="18"/>
              </w:rPr>
              <w:t>Jumlah aktivitas proaktif threat hunting</w:t>
            </w:r>
          </w:p>
        </w:tc>
        <w:tc>
          <w:tcPr>
            <w:tcW w:type="dxa" w:w="2339"/>
            <w:shd w:val="clear" w:color="auto" w:fill="F2F7FB"/>
          </w:tcPr>
          <w:p>
            <w:r>
              <w:rPr>
                <w:sz w:val="18"/>
              </w:rPr>
              <w:t>&gt;= 2/kuartal</w:t>
            </w:r>
          </w:p>
        </w:tc>
        <w:tc>
          <w:tcPr>
            <w:tcW w:type="dxa" w:w="2339"/>
            <w:shd w:val="clear" w:color="auto" w:fill="F2F7FB"/>
          </w:tcPr>
          <w:p>
            <w:r>
              <w:rPr>
                <w:sz w:val="18"/>
              </w:rPr>
              <w:t>Kuartalan</w:t>
            </w:r>
          </w:p>
        </w:tc>
      </w:tr>
      <w:tr>
        <w:tc>
          <w:tcPr>
            <w:tcW w:type="dxa" w:w="2339"/>
            <w:shd w:val="clear" w:color="auto" w:fill="DEEAF1"/>
          </w:tcPr>
          <w:p>
            <w:r>
              <w:rPr>
                <w:sz w:val="18"/>
              </w:rPr>
              <w:t>Alert Closed Same Shift</w:t>
            </w:r>
          </w:p>
        </w:tc>
        <w:tc>
          <w:tcPr>
            <w:tcW w:type="dxa" w:w="2339"/>
            <w:shd w:val="clear" w:color="auto" w:fill="DEEAF1"/>
          </w:tcPr>
          <w:p>
            <w:r>
              <w:rPr>
                <w:sz w:val="18"/>
              </w:rPr>
              <w:t>% alert yang diselesaikan di shift yang sama</w:t>
            </w:r>
          </w:p>
        </w:tc>
        <w:tc>
          <w:tcPr>
            <w:tcW w:type="dxa" w:w="2339"/>
            <w:shd w:val="clear" w:color="auto" w:fill="DEEAF1"/>
          </w:tcPr>
          <w:p>
            <w:r>
              <w:rPr>
                <w:sz w:val="18"/>
              </w:rPr>
              <w:t>&gt;= 80%</w:t>
            </w:r>
          </w:p>
        </w:tc>
        <w:tc>
          <w:tcPr>
            <w:tcW w:type="dxa" w:w="2339"/>
            <w:shd w:val="clear" w:color="auto" w:fill="DEEAF1"/>
          </w:tcPr>
          <w:p>
            <w:r>
              <w:rPr>
                <w:sz w:val="18"/>
              </w:rPr>
              <w:t>Bulanan</w:t>
            </w:r>
          </w:p>
        </w:tc>
      </w:tr>
    </w:tbl>
    <w:sectPr w:rsidR="00FC693F" w:rsidRPr="0006063C" w:rsidSect="00034616">
      <w:headerReference w:type="default" r:id="rId9"/>
      <w:footerReference w:type="default" r:id="rId10"/>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PT Equity Life Indonesia  |  ISMS-AM-001  |  Februari 2026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497D"/>
        <w:sz w:val="16"/>
      </w:rPr>
      <w:t>PT Equity Life Indonesia  |  Kebijakan dan SOP Pemantauan Aktivitas  |  ISMS-AM-001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