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PT EQUITY LIFE INDONESIA</w:t>
            </w:r>
          </w:p>
          <w:p>
            <w:pPr>
              <w:spacing w:before="0" w:after="12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AF7D"/>
                <w:sz w:val="20"/>
                <w:szCs w:val="20"/>
              </w:rPr>
              <w:t xml:space="preserve">TEKNOLOGI INFORMASI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32"/>
                <w:szCs w:val="32"/>
              </w:rPr>
              <w:t xml:space="preserve">FORMULIR CAPACITY IMPACT ASSESSMENT</w:t>
            </w:r>
          </w:p>
          <w:p>
            <w:pPr>
              <w:spacing w:before="0" w:after="1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6EDE0"/>
                <w:sz w:val="20"/>
                <w:szCs w:val="20"/>
              </w:rPr>
              <w:t xml:space="preserve">Capacity &amp; Resource Impact Assessment for Change Request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ELI-FORM-ITS-003  |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v1.0  |  10 Maret 2026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A. IDENTITAS CHANGE REQUEST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No. RFC / Change ID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ELI-RFC-YYYY-NNN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Nama Sistem / Aplikasi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Lingkungan Target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Production / Staging / DR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Tipe Change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Deployment Direncanakan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Prepared by / Infrastructure Team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Tanggal Assessment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Tipe Change: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Standard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Normal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Major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Emergency   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B. BASELINE KAPASITAS SAAT INI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9"/>
          <w:szCs w:val="19"/>
        </w:rPr>
        <w:t xml:space="preserve">Catat kondisi kapasitas SEBELUM deployment. Data diambil dari monitoring tool (Zabbix / Grafana / APM).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60"/>
        <w:gridCol w:w="1400"/>
        <w:gridCol w:w="1500"/>
        <w:gridCol w:w="1500"/>
        <w:gridCol w:w="170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Server / Node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Kapasitas Total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Utilisasi Saat Ini (%)</w:t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Threshold Aman (%)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Headroom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CPU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75%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Memory (RAM)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Disk Storage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85%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Disk I/O (IOPS)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70%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Network Bandwidth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60%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DB Connections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80%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Thread Pool / Worker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70%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JVM Heap (jika applicable)</w:t>
            </w:r>
          </w:p>
        </w:tc>
        <w:tc>
          <w:tcPr>
            <w:tcW w:type="dxa" w:w="1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5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75%</w:t>
            </w:r>
          </w:p>
        </w:tc>
        <w:tc>
          <w:tcPr>
            <w:tcW w:type="dxa" w:w="17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C. ESTIMASI DAMPAK DEPLOYMENT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2000"/>
        <w:gridCol w:w="1400"/>
        <w:gridCol w:w="3160"/>
      </w:tblGrid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Resource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Estimasi Peningkatan</w:t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Proyeksi Utilisasi Post-Deploy</w:t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Risiko</w:t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0D2B1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Mitigasi</w:t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CPU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Memory (RAM)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Disk Storage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Disk I/O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Network Bandwidth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DB Connections</w:t>
            </w:r>
          </w:p>
        </w:tc>
        <w:tc>
          <w:tcPr>
            <w:tcW w:type="dxa" w:w="16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14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  <w:tc>
          <w:tcPr>
            <w:tcW w:type="dxa" w:w="31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spacing w:before="0" w:after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18"/>
          <w:szCs w:val="18"/>
        </w:rPr>
        <w:t xml:space="preserve">Level Risiko: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LOW — proyeksi &lt; 60% semua resource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MEDIUM — salah satu resource 60–79%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 ☐ HIGH — salah satu resource ≥ 80%   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D. ANALISIS SKALABILITAS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Apakah sistem mendukung horizontal scaling?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YA / TIDAK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Auto-scaling dikonfigurasi?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YA / TIDAK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Batas maksimum instance/pod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Peak load yang diestimasi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2x normal load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Waktu scale-out (jika auto-scaling aktif)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&lt; 2 menit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Catatan arsitektur skalabilitas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E. DAMPAK DATABASE &amp; STORAGE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Database / Schema yang terpengaruh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Estimasi pertumbuhan data per bulan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+50 GB/bulan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Storage tersedia saat ini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Estimasi waktu penuh storage (proyeksi)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DDL Change (ALTER TABLE, INDEX, dll.)?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YA / TIDAK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Rencana archiving / partitioning (jika ada)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F. BUKTI PERFORMANCE TESTING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Load test dilakukan?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YA / TIDAK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Tool yang digunakan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JMeter, Gatling, k6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Skenario test (jumlah VU / TPS)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500 VU selama 30 menit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Response time 95th percentile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250ms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Error rate selama load test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e.g. 0.02%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Link / lokasi laporan load test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Response time memenuhi SLA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Error rate &lt; threshold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Tidak ada memory leak terdeteksi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DB query time dalam batas normal</w:t>
            </w:r>
          </w:p>
        </w:tc>
      </w:tr>
      <w:tr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Resource recovery normal setelah peak</w:t>
            </w:r>
          </w:p>
        </w:tc>
        <w:tc>
          <w:tcPr>
            <w:tcW w:type="dxa" w:w="468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D35"/>
                <w:sz w:val="20"/>
                <w:szCs w:val="20"/>
              </w:rPr>
              <w:t xml:space="preserve">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  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G. RENCANA KAPASITAS POST-DEPLOYMENT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Tindakan provisioning yang direncanakan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Monitoring tambahan yang diaktifkan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Alert threshold yang dikonfigurasi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Periode review kapasitas berikutnya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DD/MM/YYYY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H. REKOMENDASI GO / NO-GO (KAPASITAS)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2D7A4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✅  GO — Kapasitas Memadai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8962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⚠️  GO WITH CONDITION</w:t>
            </w:r>
          </w:p>
        </w:tc>
        <w:tc>
          <w:tcPr>
            <w:tcW w:type="dxa" w:w="312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C0392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🚫  NO-GO — Kapasitas Tidak Cukup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Keputusan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GO / NO-GO / GO WITH CONDITION</w:t>
            </w:r>
          </w:p>
        </w:tc>
      </w:tr>
      <w:tr>
        <w:tc>
          <w:tcPr>
            <w:tcW w:type="dxa" w:w="280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DE0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19"/>
                <w:szCs w:val="19"/>
              </w:rPr>
              <w:t xml:space="preserve">Kondisi / Catatan</w:t>
            </w:r>
          </w:p>
        </w:tc>
        <w:tc>
          <w:tcPr>
            <w:tcW w:type="dxa" w:w="65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8F5EE" w:val="clear"/>
            <w:tcMar>
              <w:top w:type="dxa" w:w="60"/>
              <w:left w:type="dxa" w:w="150"/>
              <w:bottom w:type="dxa" w:w="60"/>
              <w:right w:type="dxa" w:w="12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/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1B4D3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I. PERSETUJUAN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Infrastructure Engineer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IT Operations Manager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Release Manager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  <w:tc>
          <w:tcPr>
            <w:tcW w:type="dxa" w:w="2340"/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EBF7F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4D35"/>
                <w:sz w:val="20"/>
                <w:szCs w:val="20"/>
              </w:rPr>
              <w:t xml:space="preserve">Change Advisory Board (CAB)</w:t>
            </w:r>
          </w:p>
          <w:p>
            <w:pPr>
              <w:spacing w:after="300"/>
            </w:pPr>
            <w:r>
              <w:t xml:space="preserve"/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_________________________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8"/>
                <w:szCs w:val="18"/>
              </w:rPr>
              <w:t xml:space="preserve">(Nama &amp; TTD)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8"/>
                <w:szCs w:val="18"/>
              </w:rPr>
              <w:t xml:space="preserve">Tanggal: ________________</w:t>
            </w:r>
          </w:p>
        </w:tc>
      </w:tr>
    </w:tbl>
    <w:p>
      <w:pPr>
        <w:spacing w:after="120"/>
      </w:pPr>
      <w:r>
        <w:t xml:space="preserve"/>
      </w:r>
    </w:p>
    <w:sectPr>
      <w:headerReference w:type="default" r:id="rId6"/>
      <w:foot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PT Equity Life Indonesia  |  CONFIDENTIAL — Internal Use Only  |  ELI-ITS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80"/>
      <w:jc w:val="left"/>
    </w:pPr>
    <w:r>
      <w:rPr>
        <w:rFonts w:ascii="Arial" w:cs="Arial" w:eastAsia="Arial" w:hAnsi="Arial"/>
        <w:b w:val="false"/>
        <w:bCs w:val="false"/>
        <w:i w:val="false"/>
        <w:iCs w:val="false"/>
        <w:color w:val="2D7A4F"/>
        <w:sz w:val="17"/>
        <w:szCs w:val="17"/>
      </w:rPr>
      <w:t xml:space="preserve">ELI-FORM-ITS-003  |  FORMULIR CAPACITY IMPACT ASSESSMENT</w:t>
    </w: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17"/>
        <w:szCs w:val="17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7"/>
        <w:szCs w:val="17"/>
      </w:rPr>
      <w:t xml:space="preserve">Hal.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2026-03-10T21:14:04.417Z</dcterms:created>
  <dcterms:modified xsi:type="dcterms:W3CDTF">2026-03-10T21:14:04.417Z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