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00" w:before="400"/>
        <w:jc w:val="center"/>
      </w:pPr>
      <w:r>
        <w:rPr>
          <w:rFonts w:ascii="Arial" w:cs="Arial" w:eastAsia="Arial" w:hAnsi="Arial"/>
          <w:b/>
          <w:bCs/>
          <w:color w:val="1F3864"/>
          <w:sz w:val="36"/>
          <w:szCs w:val="36"/>
        </w:rPr>
        <w:t xml:space="preserve">PT. NAMA PERUSAHAAN</w:t>
      </w:r>
    </w:p>
    <w:p>
      <w:pPr>
        <w:spacing w:after="400" w:before="60"/>
        <w:jc w:val="center"/>
      </w:pPr>
      <w:r>
        <w:rPr>
          <w:rFonts w:ascii="Arial" w:cs="Arial" w:eastAsia="Arial" w:hAnsi="Arial"/>
          <w:color w:val="2E75B6"/>
          <w:sz w:val="22"/>
          <w:szCs w:val="22"/>
        </w:rPr>
        <w:t xml:space="preserve">SISTEM MANAJEMEN KEAMANAN INFORMASI (SMKI)</w:t>
      </w:r>
    </w:p>
    <w:p>
      <w:pPr>
        <w:pBdr>
          <w:top w:val="single" w:color="1F3864" w:sz="12" w:space="6"/>
          <w:bottom w:val="single" w:color="1F3864" w:sz="12" w:space="6"/>
        </w:pBdr>
        <w:spacing w:after="200" w:before="200"/>
        <w:jc w:val="center"/>
      </w:pPr>
      <w:r>
        <w:rPr>
          <w:rFonts w:ascii="Arial" w:cs="Arial" w:eastAsia="Arial" w:hAnsi="Arial"/>
          <w:b/>
          <w:bCs/>
          <w:color w:val="1F3864"/>
          <w:sz w:val="40"/>
          <w:szCs w:val="40"/>
        </w:rPr>
        <w:t xml:space="preserve">KEBIJAKAN MANAJEMEN KAPASITAS</w:t>
      </w:r>
    </w:p>
    <w:p>
      <w:pPr>
        <w:spacing w:after="80" w:before="200"/>
        <w:jc w:val="center"/>
      </w:pPr>
      <w:r>
        <w:rPr>
          <w:rFonts w:ascii="Arial" w:cs="Arial" w:eastAsia="Arial" w:hAnsi="Arial"/>
          <w:color w:val="2E75B6"/>
          <w:sz w:val="20"/>
          <w:szCs w:val="20"/>
        </w:rPr>
        <w:t xml:space="preserve">Berdasarkan ISO/IEC 27001:2022 Annex A 8.6</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9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Informasi Dokumen</w:t>
            </w:r>
          </w:p>
        </w:tc>
        <w:tc>
          <w:tcPr>
            <w:tcW w:type="dxa" w:w="0"/>
            <w:tcBorders>
              <w:top w:val="none" w:color="FFFFFF" w:sz="0"/>
              <w:left w:val="none" w:color="FFFFFF" w:sz="0"/>
              <w:bottom w:val="none" w:color="FFFFFF" w:sz="0"/>
              <w:right w:val="none" w:color="FFFFFF" w:sz="0"/>
            </w:tcBorders>
          </w:tcPr>
          <w:p>
            <w:r>
              <w:t xml:space="preserve"/>
            </w:r>
          </w:p>
        </w:tc>
        <w:tc>
          <w:tcPr>
            <w:tcW w:type="dxa" w:w="0"/>
            <w:tcBorders>
              <w:top w:val="none" w:color="FFFFFF" w:sz="0"/>
              <w:left w:val="none" w:color="FFFFFF" w:sz="0"/>
              <w:bottom w:val="none" w:color="FFFFFF" w:sz="0"/>
              <w:right w:val="none" w:color="FFFFFF" w:sz="0"/>
            </w:tcBorders>
          </w:tcPr>
          <w:p>
            <w:r>
              <w:t xml:space="preserve"/>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Judul Dokumen</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Kebijakan Manajemen Kapasitas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Nomor Dokumen</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ISMS-POL-OPS-003</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Versi: 1.0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Tanggal Berlaku</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 Maret 2026</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Hal: 1 dari 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Dibuat Oleh</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 ISMS / IT Manager</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Disetujui Oleh</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Chief Information Security Officer (CISO)</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Klasifikasi</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Internal</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Referensi Standar</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ISO/IEC 27001:2022 Annex A 8.6 (Capacity Management)</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r>
    </w:tbl>
    <w:p>
      <w:pPr>
        <w:spacing w:after="60" w:before="60"/>
      </w:pPr>
      <w:r>
        <w:t xml:space="preserve"/>
      </w:r>
    </w:p>
    <w:p>
      <w:pPr>
        <w:spacing w:after="80" w:before="100"/>
        <w:jc w:val="center"/>
      </w:pPr>
      <w:r>
        <w:rPr>
          <w:rFonts w:ascii="Arial" w:cs="Arial" w:eastAsia="Arial" w:hAnsi="Arial"/>
          <w:b/>
          <w:bCs/>
          <w:color w:val="1F3864"/>
          <w:sz w:val="22"/>
          <w:szCs w:val="22"/>
        </w:rPr>
        <w:t xml:space="preserve">RIWAYAT PERUBAHAN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640"/>
        <w:gridCol w:w="360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w:t>
            </w:r>
          </w:p>
        </w:tc>
        <w:tc>
          <w:tcPr>
            <w:tcW w:type="dxa" w:w="1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Tanggal</w:t>
            </w:r>
          </w:p>
        </w:tc>
        <w:tc>
          <w:tcPr>
            <w:tcW w:type="dxa" w:w="26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Diubah Oleh</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Deskripsi Perubahan</w:t>
            </w:r>
          </w:p>
        </w:tc>
      </w:tr>
      <w:tr>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 Mar 2026</w:t>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IT Manager</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Pembuatan dokumen pertama kali</w:t>
            </w:r>
          </w:p>
        </w:tc>
      </w:tr>
      <w:tr>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6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r>
    </w:tbl>
    <w:p>
      <w:r>
        <w:br w:type="page"/>
      </w:r>
    </w:p>
    <w:p>
      <w:pPr>
        <w:pStyle w:val="Heading1"/>
        <w:spacing w:after="140" w:before="280"/>
      </w:pPr>
      <w:r>
        <w:rPr>
          <w:rFonts w:ascii="Arial" w:cs="Arial" w:eastAsia="Arial" w:hAnsi="Arial"/>
          <w:b/>
          <w:bCs/>
          <w:color w:val="1F3864"/>
          <w:sz w:val="28"/>
          <w:szCs w:val="28"/>
        </w:rPr>
        <w:t xml:space="preserve">1. Tujuan</w:t>
      </w:r>
    </w:p>
    <w:p>
      <w:pPr>
        <w:spacing w:after="80" w:before="80" w:line="276"/>
        <w:jc w:val="both"/>
      </w:pPr>
      <w:r>
        <w:rPr>
          <w:rFonts w:ascii="Arial" w:cs="Arial" w:eastAsia="Arial" w:hAnsi="Arial"/>
          <w:b w:val="false"/>
          <w:bCs w:val="false"/>
          <w:sz w:val="20"/>
          <w:szCs w:val="20"/>
        </w:rPr>
        <w:t xml:space="preserve">Kebijakan ini bertujuan untuk memastikan bahwa kapasitas sumber daya teknologi informasi dan komunikasi (TIK) yang mendukung operasional bisnis PT. NAMA PERUSAHAAN dikelola secara proaktif, terencana, dan berkelanjutan guna memenuhi kebutuhan bisnis saat ini maupun di masa mendatang.</w:t>
      </w:r>
    </w:p>
    <w:p>
      <w:pPr>
        <w:spacing w:after="80" w:before="80" w:line="276"/>
        <w:jc w:val="both"/>
      </w:pPr>
      <w:r>
        <w:rPr>
          <w:rFonts w:ascii="Arial" w:cs="Arial" w:eastAsia="Arial" w:hAnsi="Arial"/>
          <w:b w:val="false"/>
          <w:bCs w:val="false"/>
          <w:sz w:val="20"/>
          <w:szCs w:val="20"/>
        </w:rPr>
        <w:t xml:space="preserve">Kebijakan ini mendukung implementasi kontrol keamanan informasi sesuai dengan persyaratan ISO/IEC 27001:2022 Annex A 8.6 – Capacity Management dan memastikan ketersediaan, integritas, serta kerahasiaan informasi tidak terganggu akibat ketidakcukupan kapasitas sumber daya.</w:t>
      </w:r>
    </w:p>
    <w:p>
      <w:pPr>
        <w:pStyle w:val="Heading1"/>
        <w:spacing w:after="140" w:before="280"/>
      </w:pPr>
      <w:r>
        <w:rPr>
          <w:rFonts w:ascii="Arial" w:cs="Arial" w:eastAsia="Arial" w:hAnsi="Arial"/>
          <w:b/>
          <w:bCs/>
          <w:color w:val="1F3864"/>
          <w:sz w:val="28"/>
          <w:szCs w:val="28"/>
        </w:rPr>
        <w:t xml:space="preserve">2. Ruang Lingkup</w:t>
      </w:r>
    </w:p>
    <w:p>
      <w:pPr>
        <w:spacing w:after="80" w:before="80" w:line="276"/>
        <w:jc w:val="both"/>
      </w:pPr>
      <w:r>
        <w:rPr>
          <w:rFonts w:ascii="Arial" w:cs="Arial" w:eastAsia="Arial" w:hAnsi="Arial"/>
          <w:b w:val="false"/>
          <w:bCs w:val="false"/>
          <w:sz w:val="20"/>
          <w:szCs w:val="20"/>
        </w:rPr>
        <w:t xml:space="preserve">Kebijakan ini berlaku untuk seluruh sumber daya TIK yang dikelola oleh Departemen TI PT. NAMA PERUSAHAAN, meliputi:</w:t>
      </w:r>
    </w:p>
    <w:p>
      <w:pPr>
        <w:pStyle w:val="ListParagraph"/>
        <w:numPr>
          <w:ilvl w:val="0"/>
          <w:numId w:val="2"/>
        </w:numPr>
        <w:spacing w:after="40" w:before="40"/>
      </w:pPr>
      <w:r>
        <w:rPr>
          <w:rFonts w:ascii="Arial" w:cs="Arial" w:eastAsia="Arial" w:hAnsi="Arial"/>
          <w:sz w:val="20"/>
          <w:szCs w:val="20"/>
        </w:rPr>
        <w:t xml:space="preserve">Infrastruktur server fisik dan virtual (on-premise maupun cloud)</w:t>
      </w:r>
    </w:p>
    <w:p>
      <w:pPr>
        <w:pStyle w:val="ListParagraph"/>
        <w:numPr>
          <w:ilvl w:val="0"/>
          <w:numId w:val="2"/>
        </w:numPr>
        <w:spacing w:after="40" w:before="40"/>
      </w:pPr>
      <w:r>
        <w:rPr>
          <w:rFonts w:ascii="Arial" w:cs="Arial" w:eastAsia="Arial" w:hAnsi="Arial"/>
          <w:sz w:val="20"/>
          <w:szCs w:val="20"/>
        </w:rPr>
        <w:t xml:space="preserve">Jaringan dan bandwidth komunikasi data</w:t>
      </w:r>
    </w:p>
    <w:p>
      <w:pPr>
        <w:pStyle w:val="ListParagraph"/>
        <w:numPr>
          <w:ilvl w:val="0"/>
          <w:numId w:val="2"/>
        </w:numPr>
        <w:spacing w:after="40" w:before="40"/>
      </w:pPr>
      <w:r>
        <w:rPr>
          <w:rFonts w:ascii="Arial" w:cs="Arial" w:eastAsia="Arial" w:hAnsi="Arial"/>
          <w:sz w:val="20"/>
          <w:szCs w:val="20"/>
        </w:rPr>
        <w:t xml:space="preserve">Penyimpanan data (storage) primer, sekunder, dan cadangan (backup)</w:t>
      </w:r>
    </w:p>
    <w:p>
      <w:pPr>
        <w:pStyle w:val="ListParagraph"/>
        <w:numPr>
          <w:ilvl w:val="0"/>
          <w:numId w:val="2"/>
        </w:numPr>
        <w:spacing w:after="40" w:before="40"/>
      </w:pPr>
      <w:r>
        <w:rPr>
          <w:rFonts w:ascii="Arial" w:cs="Arial" w:eastAsia="Arial" w:hAnsi="Arial"/>
          <w:sz w:val="20"/>
          <w:szCs w:val="20"/>
        </w:rPr>
        <w:t xml:space="preserve">Perangkat lunak dan lisensi aplikasi bisnis kritis</w:t>
      </w:r>
    </w:p>
    <w:p>
      <w:pPr>
        <w:pStyle w:val="ListParagraph"/>
        <w:numPr>
          <w:ilvl w:val="0"/>
          <w:numId w:val="2"/>
        </w:numPr>
        <w:spacing w:after="40" w:before="40"/>
      </w:pPr>
      <w:r>
        <w:rPr>
          <w:rFonts w:ascii="Arial" w:cs="Arial" w:eastAsia="Arial" w:hAnsi="Arial"/>
          <w:sz w:val="20"/>
          <w:szCs w:val="20"/>
        </w:rPr>
        <w:t xml:space="preserve">Sumber daya manusia TI yang mendukung operasional sistem</w:t>
      </w:r>
    </w:p>
    <w:p>
      <w:pPr>
        <w:pStyle w:val="ListParagraph"/>
        <w:numPr>
          <w:ilvl w:val="0"/>
          <w:numId w:val="2"/>
        </w:numPr>
        <w:spacing w:after="40" w:before="40"/>
      </w:pPr>
      <w:r>
        <w:rPr>
          <w:rFonts w:ascii="Arial" w:cs="Arial" w:eastAsia="Arial" w:hAnsi="Arial"/>
          <w:sz w:val="20"/>
          <w:szCs w:val="20"/>
        </w:rPr>
        <w:t xml:space="preserve">Layanan pihak ketiga (cloud service, managed service) yang mendukung operasional bisnis</w:t>
      </w:r>
    </w:p>
    <w:p>
      <w:pPr>
        <w:spacing w:after="80" w:before="80" w:line="276"/>
        <w:jc w:val="both"/>
      </w:pPr>
      <w:r>
        <w:rPr>
          <w:rFonts w:ascii="Arial" w:cs="Arial" w:eastAsia="Arial" w:hAnsi="Arial"/>
          <w:b w:val="false"/>
          <w:bCs w:val="false"/>
          <w:sz w:val="20"/>
          <w:szCs w:val="20"/>
        </w:rPr>
        <w:t xml:space="preserve">Kebijakan ini berlaku untuk seluruh karyawan, kontraktor, mitra bisnis, dan pihak ketiga yang menggunakan atau mengelola aset TIK milik PT. NAMA PERUSAHAAN.</w:t>
      </w:r>
    </w:p>
    <w:p>
      <w:pPr>
        <w:pStyle w:val="Heading1"/>
        <w:spacing w:after="140" w:before="280"/>
      </w:pPr>
      <w:r>
        <w:rPr>
          <w:rFonts w:ascii="Arial" w:cs="Arial" w:eastAsia="Arial" w:hAnsi="Arial"/>
          <w:b/>
          <w:bCs/>
          <w:color w:val="1F3864"/>
          <w:sz w:val="28"/>
          <w:szCs w:val="28"/>
        </w:rPr>
        <w:t xml:space="preserve">3. Definisi dan Istilah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Istilah</w:t>
            </w:r>
          </w:p>
        </w:tc>
        <w:tc>
          <w:tcPr>
            <w:tcW w:type="dxa" w:w="6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Definisi</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Kapasitas (Capacity)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Kemampuan maksimum suatu sumber daya TIK untuk memproses, menyimpan, atau mentransmisikan data dalam satuan waktu tertentu.</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Manajemen Kapasitas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Proses perencanaan, pemantauan, dan pengendalian kapasitas sumber daya TIK agar sesuai dengan kebutuhan bisnis secara efisien dan efektif.</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Threshold (Ambang Batas)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Nilai batas kapasitas yang ditetapkan sebagai pemicu tindakan preventif, biasanya dinyatakan dalam persentase penggunaan.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Perencanaan Kapasitas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Aktivitas memprediksi kebutuhan kapasitas masa depan berdasarkan tren historis dan proyeksi pertumbuhan bisnis.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SLA (Service Level Agreement)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Perjanjian tingkat layanan yang mendefinisikan standar kinerja yang harus dipenuhi oleh layanan TI.</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SMKI</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Sistem Manajemen Keamanan Informasi, implementasi standar ISO/IEC 27001 di perusahaan.</w:t>
            </w:r>
          </w:p>
        </w:tc>
      </w:tr>
    </w:tbl>
    <w:p>
      <w:pPr>
        <w:pStyle w:val="Heading1"/>
        <w:spacing w:after="140" w:before="280"/>
      </w:pPr>
      <w:r>
        <w:rPr>
          <w:rFonts w:ascii="Arial" w:cs="Arial" w:eastAsia="Arial" w:hAnsi="Arial"/>
          <w:b/>
          <w:bCs/>
          <w:color w:val="1F3864"/>
          <w:sz w:val="28"/>
          <w:szCs w:val="28"/>
        </w:rPr>
        <w:t xml:space="preserve">4. Prinsip Dasar</w:t>
      </w:r>
    </w:p>
    <w:p>
      <w:pPr>
        <w:spacing w:after="80" w:before="80" w:line="276"/>
        <w:jc w:val="both"/>
      </w:pPr>
      <w:r>
        <w:rPr>
          <w:rFonts w:ascii="Arial" w:cs="Arial" w:eastAsia="Arial" w:hAnsi="Arial"/>
          <w:b w:val="false"/>
          <w:bCs w:val="false"/>
          <w:sz w:val="20"/>
          <w:szCs w:val="20"/>
        </w:rPr>
        <w:t xml:space="preserve">Manajemen kapasitas di PT. NAMA PERUSAHAAN dilaksanakan berdasarkan prinsip-prinsip berikut:</w:t>
      </w:r>
    </w:p>
    <w:p>
      <w:pPr>
        <w:pStyle w:val="ListParagraph"/>
        <w:numPr>
          <w:ilvl w:val="0"/>
          <w:numId w:val="2"/>
        </w:numPr>
        <w:spacing w:after="40" w:before="40"/>
      </w:pPr>
      <w:r>
        <w:rPr>
          <w:rFonts w:ascii="Arial" w:cs="Arial" w:eastAsia="Arial" w:hAnsi="Arial"/>
          <w:sz w:val="20"/>
          <w:szCs w:val="20"/>
        </w:rPr>
        <w:t xml:space="preserve">Proaktif: Kapasitas dikelola secara proaktif melalui pemantauan berkelanjutan dan perencanaan ke depan, bukan reaktif terhadap kegagalan.</w:t>
      </w:r>
    </w:p>
    <w:p>
      <w:pPr>
        <w:pStyle w:val="ListParagraph"/>
        <w:numPr>
          <w:ilvl w:val="0"/>
          <w:numId w:val="2"/>
        </w:numPr>
        <w:spacing w:after="40" w:before="40"/>
      </w:pPr>
      <w:r>
        <w:rPr>
          <w:rFonts w:ascii="Arial" w:cs="Arial" w:eastAsia="Arial" w:hAnsi="Arial"/>
          <w:sz w:val="20"/>
          <w:szCs w:val="20"/>
        </w:rPr>
        <w:t xml:space="preserve">Berbasis Risiko: Prioritas pengelolaan kapasitas mempertimbangkan dampak bisnis dan risiko keamanan informasi dari ketidakcukupan kapasitas.</w:t>
      </w:r>
    </w:p>
    <w:p>
      <w:pPr>
        <w:pStyle w:val="ListParagraph"/>
        <w:numPr>
          <w:ilvl w:val="0"/>
          <w:numId w:val="2"/>
        </w:numPr>
        <w:spacing w:after="40" w:before="40"/>
      </w:pPr>
      <w:r>
        <w:rPr>
          <w:rFonts w:ascii="Arial" w:cs="Arial" w:eastAsia="Arial" w:hAnsi="Arial"/>
          <w:sz w:val="20"/>
          <w:szCs w:val="20"/>
        </w:rPr>
        <w:t xml:space="preserve">Terintegrasi: Manajemen kapasitas terintegrasi dengan proses manajemen perubahan, manajemen aset, dan manajemen risiko keamanan informasi.</w:t>
      </w:r>
    </w:p>
    <w:p>
      <w:pPr>
        <w:pStyle w:val="ListParagraph"/>
        <w:numPr>
          <w:ilvl w:val="0"/>
          <w:numId w:val="2"/>
        </w:numPr>
        <w:spacing w:after="40" w:before="40"/>
      </w:pPr>
      <w:r>
        <w:rPr>
          <w:rFonts w:ascii="Arial" w:cs="Arial" w:eastAsia="Arial" w:hAnsi="Arial"/>
          <w:sz w:val="20"/>
          <w:szCs w:val="20"/>
        </w:rPr>
        <w:t xml:space="preserve">Akuntabel: Setiap pengelolaan kapasitas memiliki pemilik yang jelas dan terdokumentasi.</w:t>
      </w:r>
    </w:p>
    <w:p>
      <w:pPr>
        <w:pStyle w:val="ListParagraph"/>
        <w:numPr>
          <w:ilvl w:val="0"/>
          <w:numId w:val="2"/>
        </w:numPr>
        <w:spacing w:after="40" w:before="40"/>
      </w:pPr>
      <w:r>
        <w:rPr>
          <w:rFonts w:ascii="Arial" w:cs="Arial" w:eastAsia="Arial" w:hAnsi="Arial"/>
          <w:sz w:val="20"/>
          <w:szCs w:val="20"/>
        </w:rPr>
        <w:t xml:space="preserve">Terukur: Kapasitas dipantau menggunakan metrik yang terukur dan dilaporkan secara berkala kepada manajemen.</w:t>
      </w:r>
    </w:p>
    <w:p>
      <w:pPr>
        <w:pStyle w:val="Heading1"/>
        <w:spacing w:after="140" w:before="280"/>
      </w:pPr>
      <w:r>
        <w:rPr>
          <w:rFonts w:ascii="Arial" w:cs="Arial" w:eastAsia="Arial" w:hAnsi="Arial"/>
          <w:b/>
          <w:bCs/>
          <w:color w:val="1F3864"/>
          <w:sz w:val="28"/>
          <w:szCs w:val="28"/>
        </w:rPr>
        <w:t xml:space="preserve">5. Kebijakan</w:t>
      </w:r>
    </w:p>
    <w:p>
      <w:pPr>
        <w:pStyle w:val="Heading2"/>
        <w:spacing w:after="100" w:before="200"/>
      </w:pPr>
      <w:r>
        <w:rPr>
          <w:rFonts w:ascii="Arial" w:cs="Arial" w:eastAsia="Arial" w:hAnsi="Arial"/>
          <w:b/>
          <w:bCs/>
          <w:color w:val="2E75B6"/>
          <w:sz w:val="24"/>
          <w:szCs w:val="24"/>
        </w:rPr>
        <w:t xml:space="preserve">5.1 Perencanaan Kapasitas</w:t>
      </w:r>
    </w:p>
    <w:p>
      <w:pPr>
        <w:spacing w:after="80" w:before="80" w:line="276"/>
        <w:jc w:val="both"/>
      </w:pPr>
      <w:r>
        <w:rPr>
          <w:rFonts w:ascii="Arial" w:cs="Arial" w:eastAsia="Arial" w:hAnsi="Arial"/>
          <w:b w:val="false"/>
          <w:bCs w:val="false"/>
          <w:sz w:val="20"/>
          <w:szCs w:val="20"/>
        </w:rPr>
        <w:t xml:space="preserve">Perencanaan kapasitas wajib dilakukan setiap tahun atau sewaktu-waktu apabila terjadi perubahan bisnis yang signifikan. Perencanaan meliputi:</w:t>
      </w:r>
    </w:p>
    <w:p>
      <w:pPr>
        <w:pStyle w:val="ListParagraph"/>
        <w:numPr>
          <w:ilvl w:val="0"/>
          <w:numId w:val="2"/>
        </w:numPr>
        <w:spacing w:after="40" w:before="40"/>
      </w:pPr>
      <w:r>
        <w:rPr>
          <w:rFonts w:ascii="Arial" w:cs="Arial" w:eastAsia="Arial" w:hAnsi="Arial"/>
          <w:sz w:val="20"/>
          <w:szCs w:val="20"/>
        </w:rPr>
        <w:t xml:space="preserve">Analisis tren penggunaan sumber daya TIK minimal 12 bulan terakhir</w:t>
      </w:r>
    </w:p>
    <w:p>
      <w:pPr>
        <w:pStyle w:val="ListParagraph"/>
        <w:numPr>
          <w:ilvl w:val="0"/>
          <w:numId w:val="2"/>
        </w:numPr>
        <w:spacing w:after="40" w:before="40"/>
      </w:pPr>
      <w:r>
        <w:rPr>
          <w:rFonts w:ascii="Arial" w:cs="Arial" w:eastAsia="Arial" w:hAnsi="Arial"/>
          <w:sz w:val="20"/>
          <w:szCs w:val="20"/>
        </w:rPr>
        <w:t xml:space="preserve">Proyeksi kebutuhan kapasitas 12 bulan ke depan berdasarkan rencana bisnis</w:t>
      </w:r>
    </w:p>
    <w:p>
      <w:pPr>
        <w:pStyle w:val="ListParagraph"/>
        <w:numPr>
          <w:ilvl w:val="0"/>
          <w:numId w:val="2"/>
        </w:numPr>
        <w:spacing w:after="40" w:before="40"/>
      </w:pPr>
      <w:r>
        <w:rPr>
          <w:rFonts w:ascii="Arial" w:cs="Arial" w:eastAsia="Arial" w:hAnsi="Arial"/>
          <w:sz w:val="20"/>
          <w:szCs w:val="20"/>
        </w:rPr>
        <w:t xml:space="preserve">Identifikasi sumber daya yang berisiko mengalami kekurangan kapasitas</w:t>
      </w:r>
    </w:p>
    <w:p>
      <w:pPr>
        <w:pStyle w:val="ListParagraph"/>
        <w:numPr>
          <w:ilvl w:val="0"/>
          <w:numId w:val="2"/>
        </w:numPr>
        <w:spacing w:after="40" w:before="40"/>
      </w:pPr>
      <w:r>
        <w:rPr>
          <w:rFonts w:ascii="Arial" w:cs="Arial" w:eastAsia="Arial" w:hAnsi="Arial"/>
          <w:sz w:val="20"/>
          <w:szCs w:val="20"/>
        </w:rPr>
        <w:t xml:space="preserve">Rekomendasi tindakan pengadaan atau optimasi kapasitas beserta estimasi biaya</w:t>
      </w:r>
    </w:p>
    <w:p>
      <w:pPr>
        <w:pStyle w:val="Heading2"/>
        <w:spacing w:after="100" w:before="200"/>
      </w:pPr>
      <w:r>
        <w:rPr>
          <w:rFonts w:ascii="Arial" w:cs="Arial" w:eastAsia="Arial" w:hAnsi="Arial"/>
          <w:b/>
          <w:bCs/>
          <w:color w:val="2E75B6"/>
          <w:sz w:val="24"/>
          <w:szCs w:val="24"/>
        </w:rPr>
        <w:t xml:space="preserve">5.2 Pemantauan Kapasitas</w:t>
      </w:r>
    </w:p>
    <w:p>
      <w:pPr>
        <w:spacing w:after="80" w:before="80" w:line="276"/>
        <w:jc w:val="both"/>
      </w:pPr>
      <w:r>
        <w:rPr>
          <w:rFonts w:ascii="Arial" w:cs="Arial" w:eastAsia="Arial" w:hAnsi="Arial"/>
          <w:b w:val="false"/>
          <w:bCs w:val="false"/>
          <w:sz w:val="20"/>
          <w:szCs w:val="20"/>
        </w:rPr>
        <w:t xml:space="preserve">Pemantauan kapasitas sumber daya TIK dilakukan secara real-time dan periodik dengan ketentuan:</w:t>
      </w:r>
    </w:p>
    <w:p>
      <w:pPr>
        <w:pStyle w:val="ListParagraph"/>
        <w:numPr>
          <w:ilvl w:val="0"/>
          <w:numId w:val="2"/>
        </w:numPr>
        <w:spacing w:after="40" w:before="40"/>
      </w:pPr>
      <w:r>
        <w:rPr>
          <w:rFonts w:ascii="Arial" w:cs="Arial" w:eastAsia="Arial" w:hAnsi="Arial"/>
          <w:sz w:val="20"/>
          <w:szCs w:val="20"/>
        </w:rPr>
        <w:t xml:space="preserve">Pemantauan otomatis (automated monitoring) wajib diterapkan pada semua sistem kritis</w:t>
      </w:r>
    </w:p>
    <w:p>
      <w:pPr>
        <w:pStyle w:val="ListParagraph"/>
        <w:numPr>
          <w:ilvl w:val="0"/>
          <w:numId w:val="2"/>
        </w:numPr>
        <w:spacing w:after="40" w:before="40"/>
      </w:pPr>
      <w:r>
        <w:rPr>
          <w:rFonts w:ascii="Arial" w:cs="Arial" w:eastAsia="Arial" w:hAnsi="Arial"/>
          <w:sz w:val="20"/>
          <w:szCs w:val="20"/>
        </w:rPr>
        <w:t xml:space="preserve">Threshold peringatan (warning threshold) ditetapkan pada 75% utilisasi kapasitas</w:t>
      </w:r>
    </w:p>
    <w:p>
      <w:pPr>
        <w:pStyle w:val="ListParagraph"/>
        <w:numPr>
          <w:ilvl w:val="0"/>
          <w:numId w:val="2"/>
        </w:numPr>
        <w:spacing w:after="40" w:before="40"/>
      </w:pPr>
      <w:r>
        <w:rPr>
          <w:rFonts w:ascii="Arial" w:cs="Arial" w:eastAsia="Arial" w:hAnsi="Arial"/>
          <w:sz w:val="20"/>
          <w:szCs w:val="20"/>
        </w:rPr>
        <w:t xml:space="preserve">Threshold kritis (critical threshold) ditetapkan pada 90% utilisasi kapasitas</w:t>
      </w:r>
    </w:p>
    <w:p>
      <w:pPr>
        <w:pStyle w:val="ListParagraph"/>
        <w:numPr>
          <w:ilvl w:val="0"/>
          <w:numId w:val="2"/>
        </w:numPr>
        <w:spacing w:after="40" w:before="40"/>
      </w:pPr>
      <w:r>
        <w:rPr>
          <w:rFonts w:ascii="Arial" w:cs="Arial" w:eastAsia="Arial" w:hAnsi="Arial"/>
          <w:sz w:val="20"/>
          <w:szCs w:val="20"/>
        </w:rPr>
        <w:t xml:space="preserve">Alert otomatis dikirimkan kepada tim TI apabila threshold tercapai</w:t>
      </w:r>
    </w:p>
    <w:p>
      <w:pPr>
        <w:pStyle w:val="ListParagraph"/>
        <w:numPr>
          <w:ilvl w:val="0"/>
          <w:numId w:val="2"/>
        </w:numPr>
        <w:spacing w:after="40" w:before="40"/>
      </w:pPr>
      <w:r>
        <w:rPr>
          <w:rFonts w:ascii="Arial" w:cs="Arial" w:eastAsia="Arial" w:hAnsi="Arial"/>
          <w:sz w:val="20"/>
          <w:szCs w:val="20"/>
        </w:rPr>
        <w:t xml:space="preserve">Laporan pemantauan kapasitas dibuat setiap bulan dan dilaporkan kepada manajemen setiap triwulan</w:t>
      </w:r>
    </w:p>
    <w:p>
      <w:pPr>
        <w:pStyle w:val="Heading2"/>
        <w:spacing w:after="100" w:before="200"/>
      </w:pPr>
      <w:r>
        <w:rPr>
          <w:rFonts w:ascii="Arial" w:cs="Arial" w:eastAsia="Arial" w:hAnsi="Arial"/>
          <w:b/>
          <w:bCs/>
          <w:color w:val="2E75B6"/>
          <w:sz w:val="24"/>
          <w:szCs w:val="24"/>
        </w:rPr>
        <w:t xml:space="preserve">5.3 Penanganan Kapasitas Kritis</w:t>
      </w:r>
    </w:p>
    <w:p>
      <w:pPr>
        <w:spacing w:after="80" w:before="80" w:line="276"/>
        <w:jc w:val="both"/>
      </w:pPr>
      <w:r>
        <w:rPr>
          <w:rFonts w:ascii="Arial" w:cs="Arial" w:eastAsia="Arial" w:hAnsi="Arial"/>
          <w:b w:val="false"/>
          <w:bCs w:val="false"/>
          <w:sz w:val="20"/>
          <w:szCs w:val="20"/>
        </w:rPr>
        <w:t xml:space="preserve">Apabila utilisasi sumber daya mencapai threshold kritis (90%), maka tindakan berikut wajib dilakukan:</w:t>
      </w:r>
    </w:p>
    <w:p>
      <w:pPr>
        <w:pStyle w:val="ListParagraph"/>
        <w:numPr>
          <w:ilvl w:val="0"/>
          <w:numId w:val="2"/>
        </w:numPr>
        <w:spacing w:after="40" w:before="40"/>
      </w:pPr>
      <w:r>
        <w:rPr>
          <w:rFonts w:ascii="Arial" w:cs="Arial" w:eastAsia="Arial" w:hAnsi="Arial"/>
          <w:sz w:val="20"/>
          <w:szCs w:val="20"/>
        </w:rPr>
        <w:t xml:space="preserve">Eskalasi segera kepada IT Manager dan CISO dalam waktu 1x24 jam</w:t>
      </w:r>
    </w:p>
    <w:p>
      <w:pPr>
        <w:pStyle w:val="ListParagraph"/>
        <w:numPr>
          <w:ilvl w:val="0"/>
          <w:numId w:val="2"/>
        </w:numPr>
        <w:spacing w:after="40" w:before="40"/>
      </w:pPr>
      <w:r>
        <w:rPr>
          <w:rFonts w:ascii="Arial" w:cs="Arial" w:eastAsia="Arial" w:hAnsi="Arial"/>
          <w:sz w:val="20"/>
          <w:szCs w:val="20"/>
        </w:rPr>
        <w:t xml:space="preserve">Analisis root cause dan dampak terhadap ketersediaan layanan</w:t>
      </w:r>
    </w:p>
    <w:p>
      <w:pPr>
        <w:pStyle w:val="ListParagraph"/>
        <w:numPr>
          <w:ilvl w:val="0"/>
          <w:numId w:val="2"/>
        </w:numPr>
        <w:spacing w:after="40" w:before="40"/>
      </w:pPr>
      <w:r>
        <w:rPr>
          <w:rFonts w:ascii="Arial" w:cs="Arial" w:eastAsia="Arial" w:hAnsi="Arial"/>
          <w:sz w:val="20"/>
          <w:szCs w:val="20"/>
        </w:rPr>
        <w:t xml:space="preserve">Implementasi tindakan jangka pendek (quick win) dalam 3 hari kerja</w:t>
      </w:r>
    </w:p>
    <w:p>
      <w:pPr>
        <w:pStyle w:val="ListParagraph"/>
        <w:numPr>
          <w:ilvl w:val="0"/>
          <w:numId w:val="2"/>
        </w:numPr>
        <w:spacing w:after="40" w:before="40"/>
      </w:pPr>
      <w:r>
        <w:rPr>
          <w:rFonts w:ascii="Arial" w:cs="Arial" w:eastAsia="Arial" w:hAnsi="Arial"/>
          <w:sz w:val="20"/>
          <w:szCs w:val="20"/>
        </w:rPr>
        <w:t xml:space="preserve">Penyusunan rencana penyelesaian jangka panjang dalam 14 hari kerja</w:t>
      </w:r>
    </w:p>
    <w:p>
      <w:pPr>
        <w:pStyle w:val="ListParagraph"/>
        <w:numPr>
          <w:ilvl w:val="0"/>
          <w:numId w:val="2"/>
        </w:numPr>
        <w:spacing w:after="40" w:before="40"/>
      </w:pPr>
      <w:r>
        <w:rPr>
          <w:rFonts w:ascii="Arial" w:cs="Arial" w:eastAsia="Arial" w:hAnsi="Arial"/>
          <w:sz w:val="20"/>
          <w:szCs w:val="20"/>
        </w:rPr>
        <w:t xml:space="preserve">Dokumentasi insiden dan tindakan penanganan dalam sistem manajemen insiden</w:t>
      </w:r>
    </w:p>
    <w:p>
      <w:pPr>
        <w:pStyle w:val="Heading2"/>
        <w:spacing w:after="100" w:before="200"/>
      </w:pPr>
      <w:r>
        <w:rPr>
          <w:rFonts w:ascii="Arial" w:cs="Arial" w:eastAsia="Arial" w:hAnsi="Arial"/>
          <w:b/>
          <w:bCs/>
          <w:color w:val="2E75B6"/>
          <w:sz w:val="24"/>
          <w:szCs w:val="24"/>
        </w:rPr>
        <w:t xml:space="preserve">5.4 Pengadaan Kapasitas</w:t>
      </w:r>
    </w:p>
    <w:p>
      <w:pPr>
        <w:spacing w:after="80" w:before="80" w:line="276"/>
        <w:jc w:val="both"/>
      </w:pPr>
      <w:r>
        <w:rPr>
          <w:rFonts w:ascii="Arial" w:cs="Arial" w:eastAsia="Arial" w:hAnsi="Arial"/>
          <w:b w:val="false"/>
          <w:bCs w:val="false"/>
          <w:sz w:val="20"/>
          <w:szCs w:val="20"/>
        </w:rPr>
        <w:t xml:space="preserve">Pengadaan kapasitas tambahan wajib memenuhi ketentuan:</w:t>
      </w:r>
    </w:p>
    <w:p>
      <w:pPr>
        <w:pStyle w:val="ListParagraph"/>
        <w:numPr>
          <w:ilvl w:val="0"/>
          <w:numId w:val="2"/>
        </w:numPr>
        <w:spacing w:after="40" w:before="40"/>
      </w:pPr>
      <w:r>
        <w:rPr>
          <w:rFonts w:ascii="Arial" w:cs="Arial" w:eastAsia="Arial" w:hAnsi="Arial"/>
          <w:sz w:val="20"/>
          <w:szCs w:val="20"/>
        </w:rPr>
        <w:t xml:space="preserve">Didasarkan pada hasil analisis kapasitas yang terdokumentasi</w:t>
      </w:r>
    </w:p>
    <w:p>
      <w:pPr>
        <w:pStyle w:val="ListParagraph"/>
        <w:numPr>
          <w:ilvl w:val="0"/>
          <w:numId w:val="2"/>
        </w:numPr>
        <w:spacing w:after="40" w:before="40"/>
      </w:pPr>
      <w:r>
        <w:rPr>
          <w:rFonts w:ascii="Arial" w:cs="Arial" w:eastAsia="Arial" w:hAnsi="Arial"/>
          <w:sz w:val="20"/>
          <w:szCs w:val="20"/>
        </w:rPr>
        <w:t xml:space="preserve">Melalui proses manajemen perubahan (change management) yang berlaku</w:t>
      </w:r>
    </w:p>
    <w:p>
      <w:pPr>
        <w:pStyle w:val="ListParagraph"/>
        <w:numPr>
          <w:ilvl w:val="0"/>
          <w:numId w:val="2"/>
        </w:numPr>
        <w:spacing w:after="40" w:before="40"/>
      </w:pPr>
      <w:r>
        <w:rPr>
          <w:rFonts w:ascii="Arial" w:cs="Arial" w:eastAsia="Arial" w:hAnsi="Arial"/>
          <w:sz w:val="20"/>
          <w:szCs w:val="20"/>
        </w:rPr>
        <w:t xml:space="preserve">Mempertimbangkan aspek keamanan informasi dalam spesifikasi teknis</w:t>
      </w:r>
    </w:p>
    <w:p>
      <w:pPr>
        <w:pStyle w:val="ListParagraph"/>
        <w:numPr>
          <w:ilvl w:val="0"/>
          <w:numId w:val="2"/>
        </w:numPr>
        <w:spacing w:after="40" w:before="40"/>
      </w:pPr>
      <w:r>
        <w:rPr>
          <w:rFonts w:ascii="Arial" w:cs="Arial" w:eastAsia="Arial" w:hAnsi="Arial"/>
          <w:sz w:val="20"/>
          <w:szCs w:val="20"/>
        </w:rPr>
        <w:t xml:space="preserve">Dilakukan sebelum kapasitas mencapai threshold kritis</w:t>
      </w:r>
    </w:p>
    <w:p>
      <w:pPr>
        <w:pStyle w:val="ListParagraph"/>
        <w:numPr>
          <w:ilvl w:val="0"/>
          <w:numId w:val="2"/>
        </w:numPr>
        <w:spacing w:after="40" w:before="40"/>
      </w:pPr>
      <w:r>
        <w:rPr>
          <w:rFonts w:ascii="Arial" w:cs="Arial" w:eastAsia="Arial" w:hAnsi="Arial"/>
          <w:sz w:val="20"/>
          <w:szCs w:val="20"/>
        </w:rPr>
        <w:t xml:space="preserve">Dianggarkan dalam perencanaan anggaran tahunan TI</w:t>
      </w:r>
    </w:p>
    <w:p>
      <w:pPr>
        <w:pStyle w:val="Heading2"/>
        <w:spacing w:after="100" w:before="200"/>
      </w:pPr>
      <w:r>
        <w:rPr>
          <w:rFonts w:ascii="Arial" w:cs="Arial" w:eastAsia="Arial" w:hAnsi="Arial"/>
          <w:b/>
          <w:bCs/>
          <w:color w:val="2E75B6"/>
          <w:sz w:val="24"/>
          <w:szCs w:val="24"/>
        </w:rPr>
        <w:t xml:space="preserve">5.5 Optimasi Kapasitas</w:t>
      </w:r>
    </w:p>
    <w:p>
      <w:pPr>
        <w:spacing w:after="80" w:before="80" w:line="276"/>
        <w:jc w:val="both"/>
      </w:pPr>
      <w:r>
        <w:rPr>
          <w:rFonts w:ascii="Arial" w:cs="Arial" w:eastAsia="Arial" w:hAnsi="Arial"/>
          <w:b w:val="false"/>
          <w:bCs w:val="false"/>
          <w:sz w:val="20"/>
          <w:szCs w:val="20"/>
        </w:rPr>
        <w:t xml:space="preserve">Optimasi kapasitas dilakukan secara berkala untuk memaksimalkan efisiensi penggunaan sumber daya, meliputi:</w:t>
      </w:r>
    </w:p>
    <w:p>
      <w:pPr>
        <w:pStyle w:val="ListParagraph"/>
        <w:numPr>
          <w:ilvl w:val="0"/>
          <w:numId w:val="2"/>
        </w:numPr>
        <w:spacing w:after="40" w:before="40"/>
      </w:pPr>
      <w:r>
        <w:rPr>
          <w:rFonts w:ascii="Arial" w:cs="Arial" w:eastAsia="Arial" w:hAnsi="Arial"/>
          <w:sz w:val="20"/>
          <w:szCs w:val="20"/>
        </w:rPr>
        <w:t xml:space="preserve">Review utilisasi sumber daya yang rendah (di bawah 20%) setiap triwulan</w:t>
      </w:r>
    </w:p>
    <w:p>
      <w:pPr>
        <w:pStyle w:val="ListParagraph"/>
        <w:numPr>
          <w:ilvl w:val="0"/>
          <w:numId w:val="2"/>
        </w:numPr>
        <w:spacing w:after="40" w:before="40"/>
      </w:pPr>
      <w:r>
        <w:rPr>
          <w:rFonts w:ascii="Arial" w:cs="Arial" w:eastAsia="Arial" w:hAnsi="Arial"/>
          <w:sz w:val="20"/>
          <w:szCs w:val="20"/>
        </w:rPr>
        <w:t xml:space="preserve">Implementasi teknologi virtualisasi dan kompresi data untuk efisiensi</w:t>
      </w:r>
    </w:p>
    <w:p>
      <w:pPr>
        <w:pStyle w:val="ListParagraph"/>
        <w:numPr>
          <w:ilvl w:val="0"/>
          <w:numId w:val="2"/>
        </w:numPr>
        <w:spacing w:after="40" w:before="40"/>
      </w:pPr>
      <w:r>
        <w:rPr>
          <w:rFonts w:ascii="Arial" w:cs="Arial" w:eastAsia="Arial" w:hAnsi="Arial"/>
          <w:sz w:val="20"/>
          <w:szCs w:val="20"/>
        </w:rPr>
        <w:t xml:space="preserve">Penghapusan data dan sistem yang tidak lagi digunakan sesuai kebijakan retensi data</w:t>
      </w:r>
    </w:p>
    <w:p>
      <w:pPr>
        <w:pStyle w:val="ListParagraph"/>
        <w:numPr>
          <w:ilvl w:val="0"/>
          <w:numId w:val="2"/>
        </w:numPr>
        <w:spacing w:after="40" w:before="40"/>
      </w:pPr>
      <w:r>
        <w:rPr>
          <w:rFonts w:ascii="Arial" w:cs="Arial" w:eastAsia="Arial" w:hAnsi="Arial"/>
          <w:sz w:val="20"/>
          <w:szCs w:val="20"/>
        </w:rPr>
        <w:t xml:space="preserve">Evaluasi dan optimasi konfigurasi sistem secara berkala</w:t>
      </w:r>
    </w:p>
    <w:p>
      <w:pPr>
        <w:pStyle w:val="Heading2"/>
        <w:spacing w:after="100" w:before="200"/>
      </w:pPr>
      <w:r>
        <w:rPr>
          <w:rFonts w:ascii="Arial" w:cs="Arial" w:eastAsia="Arial" w:hAnsi="Arial"/>
          <w:b/>
          <w:bCs/>
          <w:color w:val="2E75B6"/>
          <w:sz w:val="24"/>
          <w:szCs w:val="24"/>
        </w:rPr>
        <w:t xml:space="preserve">5.6 Dokumentasi dan Pelaporan</w:t>
      </w:r>
    </w:p>
    <w:p>
      <w:pPr>
        <w:spacing w:after="80" w:before="80" w:line="276"/>
        <w:jc w:val="both"/>
      </w:pPr>
      <w:r>
        <w:rPr>
          <w:rFonts w:ascii="Arial" w:cs="Arial" w:eastAsia="Arial" w:hAnsi="Arial"/>
          <w:b w:val="false"/>
          <w:bCs w:val="false"/>
          <w:sz w:val="20"/>
          <w:szCs w:val="20"/>
        </w:rPr>
        <w:t xml:space="preserve">Seluruh aktivitas manajemen kapasitas wajib didokumentasikan, meliputi:</w:t>
      </w:r>
    </w:p>
    <w:p>
      <w:pPr>
        <w:pStyle w:val="ListParagraph"/>
        <w:numPr>
          <w:ilvl w:val="0"/>
          <w:numId w:val="2"/>
        </w:numPr>
        <w:spacing w:after="40" w:before="40"/>
      </w:pPr>
      <w:r>
        <w:rPr>
          <w:rFonts w:ascii="Arial" w:cs="Arial" w:eastAsia="Arial" w:hAnsi="Arial"/>
          <w:sz w:val="20"/>
          <w:szCs w:val="20"/>
        </w:rPr>
        <w:t xml:space="preserve">Inventaris kapasitas sumber daya TIK (Form ISMS-FRM-CM-001)</w:t>
      </w:r>
    </w:p>
    <w:p>
      <w:pPr>
        <w:pStyle w:val="ListParagraph"/>
        <w:numPr>
          <w:ilvl w:val="0"/>
          <w:numId w:val="2"/>
        </w:numPr>
        <w:spacing w:after="40" w:before="40"/>
      </w:pPr>
      <w:r>
        <w:rPr>
          <w:rFonts w:ascii="Arial" w:cs="Arial" w:eastAsia="Arial" w:hAnsi="Arial"/>
          <w:sz w:val="20"/>
          <w:szCs w:val="20"/>
        </w:rPr>
        <w:t xml:space="preserve">Log pemantauan kapasitas harian (Form ISMS-FRM-CM-002)</w:t>
      </w:r>
    </w:p>
    <w:p>
      <w:pPr>
        <w:pStyle w:val="ListParagraph"/>
        <w:numPr>
          <w:ilvl w:val="0"/>
          <w:numId w:val="2"/>
        </w:numPr>
        <w:spacing w:after="40" w:before="40"/>
      </w:pPr>
      <w:r>
        <w:rPr>
          <w:rFonts w:ascii="Arial" w:cs="Arial" w:eastAsia="Arial" w:hAnsi="Arial"/>
          <w:sz w:val="20"/>
          <w:szCs w:val="20"/>
        </w:rPr>
        <w:t xml:space="preserve">Laporan tinjauan kapasitas bulanan (Form ISMS-FRM-CM-003)</w:t>
      </w:r>
    </w:p>
    <w:p>
      <w:pPr>
        <w:pStyle w:val="ListParagraph"/>
        <w:numPr>
          <w:ilvl w:val="0"/>
          <w:numId w:val="2"/>
        </w:numPr>
        <w:spacing w:after="40" w:before="40"/>
      </w:pPr>
      <w:r>
        <w:rPr>
          <w:rFonts w:ascii="Arial" w:cs="Arial" w:eastAsia="Arial" w:hAnsi="Arial"/>
          <w:sz w:val="20"/>
          <w:szCs w:val="20"/>
        </w:rPr>
        <w:t xml:space="preserve">Rencana kapasitas tahunan (Form ISMS-FRM-CM-004)</w:t>
      </w:r>
    </w:p>
    <w:p>
      <w:pPr>
        <w:pStyle w:val="ListParagraph"/>
        <w:numPr>
          <w:ilvl w:val="0"/>
          <w:numId w:val="2"/>
        </w:numPr>
        <w:spacing w:after="40" w:before="40"/>
      </w:pPr>
      <w:r>
        <w:rPr>
          <w:rFonts w:ascii="Arial" w:cs="Arial" w:eastAsia="Arial" w:hAnsi="Arial"/>
          <w:sz w:val="20"/>
          <w:szCs w:val="20"/>
        </w:rPr>
        <w:t xml:space="preserve">Log insiden kapasitas dan tindakan penanganan (Form ISMS-FRM-CM-005)</w:t>
      </w:r>
    </w:p>
    <w:p>
      <w:pPr>
        <w:pStyle w:val="Heading1"/>
        <w:spacing w:after="140" w:before="280"/>
      </w:pPr>
      <w:r>
        <w:rPr>
          <w:rFonts w:ascii="Arial" w:cs="Arial" w:eastAsia="Arial" w:hAnsi="Arial"/>
          <w:b/>
          <w:bCs/>
          <w:color w:val="1F3864"/>
          <w:sz w:val="28"/>
          <w:szCs w:val="28"/>
        </w:rPr>
        <w:t xml:space="preserve">6. Peran dan Tanggung Jawab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Peran</w:t>
            </w:r>
          </w:p>
        </w:tc>
        <w:tc>
          <w:tcPr>
            <w:tcW w:type="dxa" w:w="6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Tanggung Jawab</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CISO</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Menyetujui kebijakan ini; menerima laporan kapasitas triwulanan; menetapkan prioritas pengadaan kapasitas strategis.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IT Manager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Mengawasi pelaksanaan manajemen kapasitas; menyetujui rencana kapasitas tahunan; mengeskalasi isu kapasitas kritis kepada CISO.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Capacity Manager / Admin TI</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Melakukan pemantauan kapasitas harian; menyusun laporan kapasitas bulanan; mengidentifikasi risiko kapasitas; merekomendasikan tindakan.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Tim Infrastruktur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Mengimplementasikan tindakan penanganan kapasitas; memelihara sistem monitoring; mendokumentasikan perubahan kapasitas.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Pemilik Aplikasi (App Owner)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Memberikan informasi proyeksi kebutuhan kapasitas aplikasi; berkoordinasi dengan Tim TI untuk perencanaan kapasitas aplikasi.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Internal Audit / ISMS Team</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Melakukan tinjauan kepatuhan kebijakan manajemen kapasitas; melaporkan temuan kepada manajemen.</w:t>
            </w:r>
          </w:p>
        </w:tc>
      </w:tr>
    </w:tbl>
    <w:p>
      <w:pPr>
        <w:pStyle w:val="Heading1"/>
        <w:spacing w:after="140" w:before="280"/>
      </w:pPr>
      <w:r>
        <w:rPr>
          <w:rFonts w:ascii="Arial" w:cs="Arial" w:eastAsia="Arial" w:hAnsi="Arial"/>
          <w:b/>
          <w:bCs/>
          <w:color w:val="1F3864"/>
          <w:sz w:val="28"/>
          <w:szCs w:val="28"/>
        </w:rPr>
        <w:t xml:space="preserve">7. Kepatuhan dan Penegakan</w:t>
      </w:r>
    </w:p>
    <w:p>
      <w:pPr>
        <w:spacing w:after="80" w:before="80" w:line="276"/>
        <w:jc w:val="both"/>
      </w:pPr>
      <w:r>
        <w:rPr>
          <w:rFonts w:ascii="Arial" w:cs="Arial" w:eastAsia="Arial" w:hAnsi="Arial"/>
          <w:b w:val="false"/>
          <w:bCs w:val="false"/>
          <w:sz w:val="20"/>
          <w:szCs w:val="20"/>
        </w:rPr>
        <w:t xml:space="preserve">Seluruh karyawan dan pihak terkait wajib mematuhi kebijakan ini. Pelanggaran terhadap kebijakan ini dapat mengakibatkan sanksi disiplin sesuai peraturan kepegawaian yang berlaku di PT. NAMA PERUSAHAAN.</w:t>
      </w:r>
    </w:p>
    <w:p>
      <w:pPr>
        <w:spacing w:after="80" w:before="80" w:line="276"/>
        <w:jc w:val="both"/>
      </w:pPr>
      <w:r>
        <w:rPr>
          <w:rFonts w:ascii="Arial" w:cs="Arial" w:eastAsia="Arial" w:hAnsi="Arial"/>
          <w:b w:val="false"/>
          <w:bCs w:val="false"/>
          <w:sz w:val="20"/>
          <w:szCs w:val="20"/>
        </w:rPr>
        <w:t xml:space="preserve">Kepatuhan terhadap kebijakan ini akan dievaluasi melalui:</w:t>
      </w:r>
    </w:p>
    <w:p>
      <w:pPr>
        <w:pStyle w:val="ListParagraph"/>
        <w:numPr>
          <w:ilvl w:val="0"/>
          <w:numId w:val="2"/>
        </w:numPr>
        <w:spacing w:after="40" w:before="40"/>
      </w:pPr>
      <w:r>
        <w:rPr>
          <w:rFonts w:ascii="Arial" w:cs="Arial" w:eastAsia="Arial" w:hAnsi="Arial"/>
          <w:sz w:val="20"/>
          <w:szCs w:val="20"/>
        </w:rPr>
        <w:t xml:space="preserve">Audit internal SMKI yang dilaksanakan minimal satu kali per tahun</w:t>
      </w:r>
    </w:p>
    <w:p>
      <w:pPr>
        <w:pStyle w:val="ListParagraph"/>
        <w:numPr>
          <w:ilvl w:val="0"/>
          <w:numId w:val="2"/>
        </w:numPr>
        <w:spacing w:after="40" w:before="40"/>
      </w:pPr>
      <w:r>
        <w:rPr>
          <w:rFonts w:ascii="Arial" w:cs="Arial" w:eastAsia="Arial" w:hAnsi="Arial"/>
          <w:sz w:val="20"/>
          <w:szCs w:val="20"/>
        </w:rPr>
        <w:t xml:space="preserve">Tinjauan manajemen (management review) SMKI yang dilaksanakan minimal satu kali per tahun</w:t>
      </w:r>
    </w:p>
    <w:p>
      <w:pPr>
        <w:pStyle w:val="ListParagraph"/>
        <w:numPr>
          <w:ilvl w:val="0"/>
          <w:numId w:val="2"/>
        </w:numPr>
        <w:spacing w:after="40" w:before="40"/>
      </w:pPr>
      <w:r>
        <w:rPr>
          <w:rFonts w:ascii="Arial" w:cs="Arial" w:eastAsia="Arial" w:hAnsi="Arial"/>
          <w:sz w:val="20"/>
          <w:szCs w:val="20"/>
        </w:rPr>
        <w:t xml:space="preserve">Monitoring dan pelaporan berkala oleh Capacity Manager</w:t>
      </w:r>
    </w:p>
    <w:p>
      <w:pPr>
        <w:pStyle w:val="Heading1"/>
        <w:spacing w:after="140" w:before="280"/>
      </w:pPr>
      <w:r>
        <w:rPr>
          <w:rFonts w:ascii="Arial" w:cs="Arial" w:eastAsia="Arial" w:hAnsi="Arial"/>
          <w:b/>
          <w:bCs/>
          <w:color w:val="1F3864"/>
          <w:sz w:val="28"/>
          <w:szCs w:val="28"/>
        </w:rPr>
        <w:t xml:space="preserve">8. Pengecualian</w:t>
      </w:r>
    </w:p>
    <w:p>
      <w:pPr>
        <w:spacing w:after="80" w:before="80" w:line="276"/>
        <w:jc w:val="both"/>
      </w:pPr>
      <w:r>
        <w:rPr>
          <w:rFonts w:ascii="Arial" w:cs="Arial" w:eastAsia="Arial" w:hAnsi="Arial"/>
          <w:b w:val="false"/>
          <w:bCs w:val="false"/>
          <w:sz w:val="20"/>
          <w:szCs w:val="20"/>
        </w:rPr>
        <w:t xml:space="preserve">Pengecualian terhadap kebijakan ini hanya dapat diberikan dengan persetujuan tertulis dari CISO dengan ketentuan:</w:t>
      </w:r>
    </w:p>
    <w:p>
      <w:pPr>
        <w:pStyle w:val="ListParagraph"/>
        <w:numPr>
          <w:ilvl w:val="0"/>
          <w:numId w:val="2"/>
        </w:numPr>
        <w:spacing w:after="40" w:before="40"/>
      </w:pPr>
      <w:r>
        <w:rPr>
          <w:rFonts w:ascii="Arial" w:cs="Arial" w:eastAsia="Arial" w:hAnsi="Arial"/>
          <w:sz w:val="20"/>
          <w:szCs w:val="20"/>
        </w:rPr>
        <w:t xml:space="preserve">Pengecualian bersifat sementara dan memiliki batas waktu yang jelas</w:t>
      </w:r>
    </w:p>
    <w:p>
      <w:pPr>
        <w:pStyle w:val="ListParagraph"/>
        <w:numPr>
          <w:ilvl w:val="0"/>
          <w:numId w:val="2"/>
        </w:numPr>
        <w:spacing w:after="40" w:before="40"/>
      </w:pPr>
      <w:r>
        <w:rPr>
          <w:rFonts w:ascii="Arial" w:cs="Arial" w:eastAsia="Arial" w:hAnsi="Arial"/>
          <w:sz w:val="20"/>
          <w:szCs w:val="20"/>
        </w:rPr>
        <w:t xml:space="preserve">Risiko dari pengecualian telah diidentifikasi dan diterima secara formal</w:t>
      </w:r>
    </w:p>
    <w:p>
      <w:pPr>
        <w:pStyle w:val="ListParagraph"/>
        <w:numPr>
          <w:ilvl w:val="0"/>
          <w:numId w:val="2"/>
        </w:numPr>
        <w:spacing w:after="40" w:before="40"/>
      </w:pPr>
      <w:r>
        <w:rPr>
          <w:rFonts w:ascii="Arial" w:cs="Arial" w:eastAsia="Arial" w:hAnsi="Arial"/>
          <w:sz w:val="20"/>
          <w:szCs w:val="20"/>
        </w:rPr>
        <w:t xml:space="preserve">Tindakan mitigasi alternatif telah ditetapkan</w:t>
      </w:r>
    </w:p>
    <w:p>
      <w:pPr>
        <w:pStyle w:val="ListParagraph"/>
        <w:numPr>
          <w:ilvl w:val="0"/>
          <w:numId w:val="2"/>
        </w:numPr>
        <w:spacing w:after="40" w:before="40"/>
      </w:pPr>
      <w:r>
        <w:rPr>
          <w:rFonts w:ascii="Arial" w:cs="Arial" w:eastAsia="Arial" w:hAnsi="Arial"/>
          <w:sz w:val="20"/>
          <w:szCs w:val="20"/>
        </w:rPr>
        <w:t xml:space="preserve">Pengecualian didokumentasikan dan ditinjau secara berkala</w:t>
      </w:r>
    </w:p>
    <w:p>
      <w:pPr>
        <w:pStyle w:val="Heading1"/>
        <w:spacing w:after="140" w:before="280"/>
      </w:pPr>
      <w:r>
        <w:rPr>
          <w:rFonts w:ascii="Arial" w:cs="Arial" w:eastAsia="Arial" w:hAnsi="Arial"/>
          <w:b/>
          <w:bCs/>
          <w:color w:val="1F3864"/>
          <w:sz w:val="28"/>
          <w:szCs w:val="28"/>
        </w:rPr>
        <w:t xml:space="preserve">9. Tinjauan Kebijakan</w:t>
      </w:r>
    </w:p>
    <w:p>
      <w:pPr>
        <w:spacing w:after="80" w:before="80" w:line="276"/>
        <w:jc w:val="both"/>
      </w:pPr>
      <w:r>
        <w:rPr>
          <w:rFonts w:ascii="Arial" w:cs="Arial" w:eastAsia="Arial" w:hAnsi="Arial"/>
          <w:b w:val="false"/>
          <w:bCs w:val="false"/>
          <w:sz w:val="20"/>
          <w:szCs w:val="20"/>
        </w:rPr>
        <w:t xml:space="preserve">Kebijakan ini akan ditinjau dan diperbarui:</w:t>
      </w:r>
    </w:p>
    <w:p>
      <w:pPr>
        <w:pStyle w:val="ListParagraph"/>
        <w:numPr>
          <w:ilvl w:val="0"/>
          <w:numId w:val="2"/>
        </w:numPr>
        <w:spacing w:after="40" w:before="40"/>
      </w:pPr>
      <w:r>
        <w:rPr>
          <w:rFonts w:ascii="Arial" w:cs="Arial" w:eastAsia="Arial" w:hAnsi="Arial"/>
          <w:sz w:val="20"/>
          <w:szCs w:val="20"/>
        </w:rPr>
        <w:t xml:space="preserve">Setiap 1 (satu) tahun sekali secara berkala</w:t>
      </w:r>
    </w:p>
    <w:p>
      <w:pPr>
        <w:pStyle w:val="ListParagraph"/>
        <w:numPr>
          <w:ilvl w:val="0"/>
          <w:numId w:val="2"/>
        </w:numPr>
        <w:spacing w:after="40" w:before="40"/>
      </w:pPr>
      <w:r>
        <w:rPr>
          <w:rFonts w:ascii="Arial" w:cs="Arial" w:eastAsia="Arial" w:hAnsi="Arial"/>
          <w:sz w:val="20"/>
          <w:szCs w:val="20"/>
        </w:rPr>
        <w:t xml:space="preserve">Apabila terjadi perubahan signifikan pada infrastruktur TIK atau proses bisnis</w:t>
      </w:r>
    </w:p>
    <w:p>
      <w:pPr>
        <w:pStyle w:val="ListParagraph"/>
        <w:numPr>
          <w:ilvl w:val="0"/>
          <w:numId w:val="2"/>
        </w:numPr>
        <w:spacing w:after="40" w:before="40"/>
      </w:pPr>
      <w:r>
        <w:rPr>
          <w:rFonts w:ascii="Arial" w:cs="Arial" w:eastAsia="Arial" w:hAnsi="Arial"/>
          <w:sz w:val="20"/>
          <w:szCs w:val="20"/>
        </w:rPr>
        <w:t xml:space="preserve">Apabila terdapat perubahan pada standar ISO/IEC 27001 yang berlaku</w:t>
      </w:r>
    </w:p>
    <w:p>
      <w:pPr>
        <w:pStyle w:val="ListParagraph"/>
        <w:numPr>
          <w:ilvl w:val="0"/>
          <w:numId w:val="2"/>
        </w:numPr>
        <w:spacing w:after="40" w:before="40"/>
      </w:pPr>
      <w:r>
        <w:rPr>
          <w:rFonts w:ascii="Arial" w:cs="Arial" w:eastAsia="Arial" w:hAnsi="Arial"/>
          <w:sz w:val="20"/>
          <w:szCs w:val="20"/>
        </w:rPr>
        <w:t xml:space="preserve">Apabila terdapat temuan audit atau insiden kapasitas yang signifikan</w:t>
      </w:r>
    </w:p>
    <w:p>
      <w:pPr>
        <w:pStyle w:val="Heading1"/>
        <w:spacing w:after="140" w:before="280"/>
      </w:pPr>
      <w:r>
        <w:rPr>
          <w:rFonts w:ascii="Arial" w:cs="Arial" w:eastAsia="Arial" w:hAnsi="Arial"/>
          <w:b/>
          <w:bCs/>
          <w:color w:val="1F3864"/>
          <w:sz w:val="28"/>
          <w:szCs w:val="28"/>
        </w:rPr>
        <w:t xml:space="preserve">10. Referensi</w:t>
      </w:r>
    </w:p>
    <w:p>
      <w:pPr>
        <w:pStyle w:val="ListParagraph"/>
        <w:numPr>
          <w:ilvl w:val="0"/>
          <w:numId w:val="2"/>
        </w:numPr>
        <w:spacing w:after="40" w:before="40"/>
      </w:pPr>
      <w:r>
        <w:rPr>
          <w:rFonts w:ascii="Arial" w:cs="Arial" w:eastAsia="Arial" w:hAnsi="Arial"/>
          <w:sz w:val="20"/>
          <w:szCs w:val="20"/>
        </w:rPr>
        <w:t xml:space="preserve">ISO/IEC 27001:2022 – Annex A 8.6 Capacity Management</w:t>
      </w:r>
    </w:p>
    <w:p>
      <w:pPr>
        <w:pStyle w:val="ListParagraph"/>
        <w:numPr>
          <w:ilvl w:val="0"/>
          <w:numId w:val="2"/>
        </w:numPr>
        <w:spacing w:after="40" w:before="40"/>
      </w:pPr>
      <w:r>
        <w:rPr>
          <w:rFonts w:ascii="Arial" w:cs="Arial" w:eastAsia="Arial" w:hAnsi="Arial"/>
          <w:sz w:val="20"/>
          <w:szCs w:val="20"/>
        </w:rPr>
        <w:t xml:space="preserve">ISO/IEC 27002:2022 – Panduan implementasi kontrol keamanan informasi</w:t>
      </w:r>
    </w:p>
    <w:p>
      <w:pPr>
        <w:pStyle w:val="ListParagraph"/>
        <w:numPr>
          <w:ilvl w:val="0"/>
          <w:numId w:val="2"/>
        </w:numPr>
        <w:spacing w:after="40" w:before="40"/>
      </w:pPr>
      <w:r>
        <w:rPr>
          <w:rFonts w:ascii="Arial" w:cs="Arial" w:eastAsia="Arial" w:hAnsi="Arial"/>
          <w:sz w:val="20"/>
          <w:szCs w:val="20"/>
        </w:rPr>
        <w:t xml:space="preserve">Kebijakan Keamanan Informasi PT. NAMA PERUSAHAAN (ISMS-POL-001)</w:t>
      </w:r>
    </w:p>
    <w:p>
      <w:pPr>
        <w:pStyle w:val="ListParagraph"/>
        <w:numPr>
          <w:ilvl w:val="0"/>
          <w:numId w:val="2"/>
        </w:numPr>
        <w:spacing w:after="40" w:before="40"/>
      </w:pPr>
      <w:r>
        <w:rPr>
          <w:rFonts w:ascii="Arial" w:cs="Arial" w:eastAsia="Arial" w:hAnsi="Arial"/>
          <w:sz w:val="20"/>
          <w:szCs w:val="20"/>
        </w:rPr>
        <w:t xml:space="preserve">SOP Manajemen Kapasitas (ISMS-SOP-CM-001)</w:t>
      </w:r>
    </w:p>
    <w:p>
      <w:pPr>
        <w:pStyle w:val="ListParagraph"/>
        <w:numPr>
          <w:ilvl w:val="0"/>
          <w:numId w:val="2"/>
        </w:numPr>
        <w:spacing w:after="40" w:before="40"/>
      </w:pPr>
      <w:r>
        <w:rPr>
          <w:rFonts w:ascii="Arial" w:cs="Arial" w:eastAsia="Arial" w:hAnsi="Arial"/>
          <w:sz w:val="20"/>
          <w:szCs w:val="20"/>
        </w:rPr>
        <w:t xml:space="preserve">Kebijakan Manajemen Perubahan (ISMS-POL-CHG-001)</w:t>
      </w:r>
    </w:p>
    <w:p>
      <w:pPr>
        <w:pStyle w:val="Heading1"/>
        <w:spacing w:after="140" w:before="280"/>
      </w:pPr>
      <w:r>
        <w:rPr>
          <w:rFonts w:ascii="Arial" w:cs="Arial" w:eastAsia="Arial" w:hAnsi="Arial"/>
          <w:b/>
          <w:bCs/>
          <w:color w:val="1F3864"/>
          <w:sz w:val="28"/>
          <w:szCs w:val="28"/>
        </w:rPr>
        <w:t xml:space="preserve">11. Persetujuan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Disiapkan Oleh</w:t>
            </w:r>
          </w:p>
        </w:tc>
        <w:tc>
          <w:tcPr>
            <w:tcW w:type="dxa" w:w="31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Diperiksa Oleh</w:t>
            </w:r>
          </w:p>
        </w:tc>
        <w:tc>
          <w:tcPr>
            <w:tcW w:type="dxa" w:w="31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Disetujui Oleh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Tanda Tangan: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Tanda Tangan: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Tanda Tangan:</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_______________________</w:t>
            </w:r>
          </w:p>
          <w:p>
            <w:r>
              <w:rPr>
                <w:rFonts w:ascii="Arial" w:cs="Arial" w:eastAsia="Arial" w:hAnsi="Arial"/>
                <w:sz w:val="18"/>
                <w:szCs w:val="18"/>
              </w:rPr>
              <w:t xml:space="preserve">Nama: ______________________</w:t>
            </w:r>
          </w:p>
          <w:p>
            <w:r>
              <w:rPr>
                <w:rFonts w:ascii="Arial" w:cs="Arial" w:eastAsia="Arial" w:hAnsi="Arial"/>
                <w:sz w:val="18"/>
                <w:szCs w:val="18"/>
              </w:rPr>
              <w:t xml:space="preserve">Jabatan: IT Manager</w:t>
            </w:r>
          </w:p>
          <w:p>
            <w:r>
              <w:rPr>
                <w:rFonts w:ascii="Arial" w:cs="Arial" w:eastAsia="Arial" w:hAnsi="Arial"/>
                <w:sz w:val="18"/>
                <w:szCs w:val="18"/>
              </w:rPr>
              <w:t xml:space="preserve">Tanggal: ___________________</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_______________________</w:t>
            </w:r>
          </w:p>
          <w:p>
            <w:r>
              <w:rPr>
                <w:rFonts w:ascii="Arial" w:cs="Arial" w:eastAsia="Arial" w:hAnsi="Arial"/>
                <w:sz w:val="18"/>
                <w:szCs w:val="18"/>
              </w:rPr>
              <w:t xml:space="preserve">Nama: ______________________</w:t>
            </w:r>
          </w:p>
          <w:p>
            <w:r>
              <w:rPr>
                <w:rFonts w:ascii="Arial" w:cs="Arial" w:eastAsia="Arial" w:hAnsi="Arial"/>
                <w:sz w:val="18"/>
                <w:szCs w:val="18"/>
              </w:rPr>
              <w:t xml:space="preserve">Jabatan: ISMS Manager</w:t>
            </w:r>
          </w:p>
          <w:p>
            <w:r>
              <w:rPr>
                <w:rFonts w:ascii="Arial" w:cs="Arial" w:eastAsia="Arial" w:hAnsi="Arial"/>
                <w:sz w:val="18"/>
                <w:szCs w:val="18"/>
              </w:rPr>
              <w:t xml:space="preserve">Tanggal: ___________________</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_______________________</w:t>
            </w:r>
          </w:p>
          <w:p>
            <w:r>
              <w:rPr>
                <w:rFonts w:ascii="Arial" w:cs="Arial" w:eastAsia="Arial" w:hAnsi="Arial"/>
                <w:sz w:val="18"/>
                <w:szCs w:val="18"/>
              </w:rPr>
              <w:t xml:space="preserve">Nama: ______________________</w:t>
            </w:r>
          </w:p>
          <w:p>
            <w:r>
              <w:rPr>
                <w:rFonts w:ascii="Arial" w:cs="Arial" w:eastAsia="Arial" w:hAnsi="Arial"/>
                <w:sz w:val="18"/>
                <w:szCs w:val="18"/>
              </w:rPr>
              <w:t xml:space="preserve">Jabatan: CISO</w:t>
            </w:r>
          </w:p>
          <w:p>
            <w:r>
              <w:rPr>
                <w:rFonts w:ascii="Arial" w:cs="Arial" w:eastAsia="Arial" w:hAnsi="Arial"/>
                <w:sz w:val="18"/>
                <w:szCs w:val="18"/>
              </w:rPr>
              <w:t xml:space="preserve">Tanggal: ___________________</w:t>
            </w:r>
          </w:p>
        </w:tc>
      </w:tr>
    </w:tbl>
    <w:p>
      <w:pPr>
        <w:spacing w:after="60" w:before="60"/>
      </w:pPr>
      <w:r>
        <w:t xml:space="preserve"/>
      </w:r>
    </w:p>
    <w:p>
      <w:pPr>
        <w:spacing w:after="60" w:before="60"/>
      </w:pPr>
      <w:r>
        <w:t xml:space="preserve"/>
      </w:r>
    </w:p>
    <w:p>
      <w:pPr>
        <w:jc w:val="center"/>
      </w:pPr>
      <w:r>
        <w:rPr>
          <w:rFonts w:ascii="Arial" w:cs="Arial" w:eastAsia="Arial" w:hAnsi="Arial"/>
          <w:b/>
          <w:bCs/>
          <w:color w:val="888888"/>
          <w:sz w:val="18"/>
          <w:szCs w:val="18"/>
        </w:rPr>
        <w:t xml:space="preserve">--- AKHIR DOKUMEN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8566"/>
      </w:tabs>
    </w:pPr>
    <w:r>
      <w:rPr>
        <w:rFonts w:ascii="Arial" w:cs="Arial" w:eastAsia="Arial" w:hAnsi="Arial"/>
        <w:color w:val="888888"/>
        <w:sz w:val="16"/>
        <w:szCs w:val="16"/>
      </w:rPr>
      <w:t xml:space="preserve">Dokumen ini merupakan milik PT. NAMA PERUSAHAAN. Dilarang memperbanyak tanpa izin.</w:t>
    </w:r>
    <w:r>
      <w:t xml:space="preserve">	Halaman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dari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8566"/>
      </w:tabs>
    </w:pPr>
    <w:r>
      <w:rPr>
        <w:rFonts w:ascii="Arial" w:cs="Arial" w:eastAsia="Arial" w:hAnsi="Arial"/>
        <w:b/>
        <w:bCs/>
        <w:color w:val="1F3864"/>
        <w:sz w:val="18"/>
        <w:szCs w:val="18"/>
      </w:rPr>
      <w:t xml:space="preserve">PT. NAMA PERUSAHAAN  |  Kebijakan Manajemen Kapasitas</w:t>
    </w:r>
    <w:r>
      <w:t xml:space="preserve">	</w:t>
    </w:r>
    <w:r>
      <w:rPr>
        <w:rFonts w:ascii="Arial" w:cs="Arial" w:eastAsia="Arial" w:hAnsi="Arial"/>
        <w:color w:val="888888"/>
        <w:sz w:val="16"/>
        <w:szCs w:val="16"/>
      </w:rPr>
      <w:t xml:space="preserve">ISMS-POL-OPS-003  |  Ver. 1.0  |  RAHASIA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2026-03-15T21:55:15.673Z</dcterms:created>
  <dcterms:modified xsi:type="dcterms:W3CDTF">2026-03-15T21:55:15.673Z</dcterms:modified>
</cp:coreProperties>
</file>

<file path=docProps/custom.xml><?xml version="1.0" encoding="utf-8"?>
<Properties xmlns="http://schemas.openxmlformats.org/officeDocument/2006/custom-properties" xmlns:vt="http://schemas.openxmlformats.org/officeDocument/2006/docPropsVTypes"/>
</file>