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1F4E79" w:sz="12"/>
              <w:right w:val="none"/>
            </w:tcBorders>
            <w:shd w:fill="1F4E79"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PT EQUITY LIFE INDONESIA</w:t>
            </w:r>
          </w:p>
          <w:p>
            <w:pPr>
              <w:spacing w:after="40" w:before="40"/>
              <w:jc w:val="center"/>
            </w:pPr>
            <w:r>
              <w:rPr>
                <w:rFonts w:ascii="Arial" w:cs="Arial" w:eastAsia="Arial" w:hAnsi="Arial"/>
                <w:color w:val="C9D9EC"/>
                <w:sz w:val="22"/>
                <w:szCs w:val="22"/>
              </w:rPr>
              <w:t xml:space="preserve">Technology &amp; Information Directorate</w:t>
            </w:r>
          </w:p>
          <w:p>
            <w:pPr>
              <w:spacing w:after="40" w:before="40"/>
              <w:jc w:val="center"/>
            </w:pPr>
            <w:r>
              <w:rPr>
                <w:rFonts w:ascii="Arial" w:cs="Arial" w:eastAsia="Arial" w:hAnsi="Arial"/>
                <w:i/>
                <w:iCs/>
                <w:color w:val="A0B4C8"/>
                <w:sz w:val="18"/>
                <w:szCs w:val="18"/>
              </w:rPr>
              <w:t xml:space="preserve">Gedung Equity Tower, SCBD, Jakarta 12190   |   www.equitylife.co.id</w:t>
            </w:r>
          </w:p>
        </w:tc>
      </w:tr>
    </w:tbl>
    <w:p>
      <w:r>
        <w:rPr>
          <w:sz w:val="22"/>
          <w:szCs w:val="22"/>
        </w:rPr>
        <w:t xml:space="preserve"/>
      </w:r>
    </w:p>
    <w:p>
      <w:pPr>
        <w:spacing w:after="60" w:before="200"/>
        <w:jc w:val="center"/>
      </w:pPr>
      <w:r>
        <w:rPr>
          <w:rFonts w:ascii="Arial" w:cs="Arial" w:eastAsia="Arial" w:hAnsi="Arial"/>
          <w:b/>
          <w:bCs/>
          <w:color w:val="1F4E79"/>
          <w:sz w:val="28"/>
          <w:szCs w:val="28"/>
        </w:rPr>
        <w:t xml:space="preserve">SURAT KEPUTUSAN</w:t>
      </w:r>
    </w:p>
    <w:p>
      <w:pPr>
        <w:spacing w:after="60" w:before="60"/>
        <w:jc w:val="center"/>
      </w:pPr>
      <w:r>
        <w:rPr>
          <w:rFonts w:ascii="Arial" w:cs="Arial" w:eastAsia="Arial" w:hAnsi="Arial"/>
          <w:b/>
          <w:bCs/>
          <w:color w:val="2E75B6"/>
          <w:sz w:val="24"/>
          <w:szCs w:val="24"/>
        </w:rPr>
        <w:t xml:space="preserve">CHIEF TECHNOLOGY &amp; INFORMATION OFFICER</w:t>
      </w:r>
    </w:p>
    <w:p>
      <w:pPr>
        <w:spacing w:after="60" w:before="60"/>
        <w:jc w:val="center"/>
      </w:pPr>
      <w:r>
        <w:rPr>
          <w:rFonts w:ascii="Arial" w:cs="Arial" w:eastAsia="Arial" w:hAnsi="Arial"/>
          <w:b/>
          <w:bCs/>
          <w:color w:val="1F4E79"/>
          <w:sz w:val="24"/>
          <w:szCs w:val="24"/>
        </w:rPr>
        <w:t xml:space="preserve">PT EQUITY LIFE INDONESIA</w:t>
      </w:r>
    </w:p>
    <w:p>
      <w:r>
        <w:rPr>
          <w:sz w:val="22"/>
          <w:szCs w:val="22"/>
        </w:rPr>
        <w:t xml:space="preserve"/>
      </w:r>
    </w:p>
    <w:p>
      <w:pPr>
        <w:spacing w:after="60" w:before="60"/>
        <w:jc w:val="center"/>
      </w:pPr>
      <w:r>
        <w:rPr>
          <w:rFonts w:ascii="Arial" w:cs="Arial" w:eastAsia="Arial" w:hAnsi="Arial"/>
          <w:b/>
          <w:bCs/>
          <w:color w:val="1F4E79"/>
          <w:sz w:val="26"/>
          <w:szCs w:val="26"/>
        </w:rPr>
        <w:t xml:space="preserve">NOMOR : SK-CTIO-001/TID/III/2026</w:t>
      </w:r>
    </w:p>
    <w:p>
      <w:r>
        <w:rPr>
          <w:sz w:val="22"/>
          <w:szCs w:val="22"/>
        </w:rPr>
        <w:t xml:space="preserve"/>
      </w:r>
    </w:p>
    <w:p>
      <w:pPr>
        <w:pBdr>
          <w:bottom w:val="double" w:color="2E75B6" w:sz="6" w:space="4"/>
        </w:pBdr>
        <w:spacing w:after="200" w:before="60"/>
        <w:jc w:val="center"/>
      </w:pPr>
      <w:r>
        <w:rPr>
          <w:rFonts w:ascii="Arial" w:cs="Arial" w:eastAsia="Arial" w:hAnsi="Arial"/>
          <w:b/>
          <w:bCs/>
          <w:color w:val="555555"/>
          <w:sz w:val="22"/>
          <w:szCs w:val="22"/>
        </w:rPr>
        <w:t xml:space="preserve">TENTANG</w:t>
      </w:r>
    </w:p>
    <w:p>
      <w:r>
        <w:rPr>
          <w:sz w:val="22"/>
          <w:szCs w:val="22"/>
        </w:rPr>
        <w:t xml:space="preserve"/>
      </w:r>
    </w:p>
    <w:p>
      <w:pPr>
        <w:spacing w:after="60" w:before="60"/>
        <w:jc w:val="center"/>
      </w:pPr>
      <w:r>
        <w:rPr>
          <w:rFonts w:ascii="Arial" w:cs="Arial" w:eastAsia="Arial" w:hAnsi="Arial"/>
          <w:b/>
          <w:bCs/>
          <w:color w:val="1F4E79"/>
          <w:sz w:val="28"/>
          <w:szCs w:val="28"/>
        </w:rPr>
        <w:t xml:space="preserve">PEMBENTUKAN CHANGE ADVISORY BOARD (CAB)</w:t>
      </w:r>
    </w:p>
    <w:p>
      <w:pPr>
        <w:spacing w:after="60" w:before="60"/>
        <w:jc w:val="center"/>
      </w:pPr>
      <w:r>
        <w:rPr>
          <w:rFonts w:ascii="Arial" w:cs="Arial" w:eastAsia="Arial" w:hAnsi="Arial"/>
          <w:b/>
          <w:bCs/>
          <w:color w:val="1F4E79"/>
          <w:sz w:val="28"/>
          <w:szCs w:val="28"/>
        </w:rPr>
        <w:t xml:space="preserve">TEKNOLOGI INFORMASI</w:t>
      </w:r>
    </w:p>
    <w:p>
      <w:pPr>
        <w:spacing w:after="300" w:before="40"/>
        <w:jc w:val="center"/>
      </w:pPr>
      <w:r>
        <w:rPr>
          <w:rFonts w:ascii="Arial" w:cs="Arial" w:eastAsia="Arial" w:hAnsi="Arial"/>
          <w:color w:val="555555"/>
          <w:sz w:val="22"/>
          <w:szCs w:val="22"/>
        </w:rPr>
        <w:t xml:space="preserve">PT EQUITY LIFE INDONESIA</w:t>
      </w:r>
    </w:p>
    <w:p>
      <w:pPr>
        <w:pStyle w:val="Heading1"/>
        <w:spacing w:after="120" w:before="240"/>
      </w:pPr>
      <w:r>
        <w:rPr>
          <w:rFonts w:ascii="Arial" w:cs="Arial" w:eastAsia="Arial" w:hAnsi="Arial"/>
          <w:b/>
          <w:bCs/>
          <w:color w:val="1F4E79"/>
          <w:sz w:val="26"/>
          <w:szCs w:val="26"/>
        </w:rPr>
        <w:t xml:space="preserve">MENIMBANG</w:t>
      </w:r>
    </w:p>
    <w:p>
      <w:pPr>
        <w:spacing w:after="100" w:before="100"/>
        <w:jc w:val="left"/>
      </w:pPr>
      <w:r>
        <w:rPr>
          <w:rFonts w:ascii="Arial" w:cs="Arial" w:eastAsia="Arial" w:hAnsi="Arial"/>
          <w:b w:val="false"/>
          <w:bCs w:val="false"/>
          <w:i w:val="false"/>
          <w:iCs w:val="false"/>
          <w:color w:val="000000"/>
          <w:sz w:val="22"/>
          <w:szCs w:val="22"/>
        </w:rPr>
        <w:t xml:space="preserve">Bahwa:</w:t>
      </w:r>
    </w:p>
    <w:p>
      <w:pPr>
        <w:pStyle w:val="ListParagraph"/>
        <w:numPr>
          <w:ilvl w:val="0"/>
          <w:numId w:val="2"/>
        </w:numPr>
        <w:spacing w:after="40" w:before="40"/>
      </w:pPr>
      <w:r>
        <w:rPr>
          <w:rFonts w:ascii="Arial" w:cs="Arial" w:eastAsia="Arial" w:hAnsi="Arial"/>
          <w:sz w:val="22"/>
          <w:szCs w:val="22"/>
        </w:rPr>
        <w:t xml:space="preserve">Perubahan pada sistem informasi, aplikasi, dan infrastruktur teknologi informasi merupakan aktivitas yang memiliki risiko terhadap keberlangsungan layanan bisnis, keamanan informasi, dan kualitas data perusahaan.</w:t>
      </w:r>
    </w:p>
    <w:p>
      <w:pPr>
        <w:pStyle w:val="ListParagraph"/>
        <w:numPr>
          <w:ilvl w:val="0"/>
          <w:numId w:val="2"/>
        </w:numPr>
        <w:spacing w:after="40" w:before="40"/>
      </w:pPr>
      <w:r>
        <w:rPr>
          <w:rFonts w:ascii="Arial" w:cs="Arial" w:eastAsia="Arial" w:hAnsi="Arial"/>
          <w:sz w:val="22"/>
          <w:szCs w:val="22"/>
        </w:rPr>
        <w:t xml:space="preserve">PT Equity Life Indonesia sebagai perusahaan asuransi jiwa yang diawasi oleh Otoritas Jasa Keuangan (OJK) memiliki kewajiban untuk menjaga ketersediaan, integritas, dan kerahasiaan sistem informasi yang mendukung proses bisnis.</w:t>
      </w:r>
    </w:p>
    <w:p>
      <w:pPr>
        <w:pStyle w:val="ListParagraph"/>
        <w:numPr>
          <w:ilvl w:val="0"/>
          <w:numId w:val="2"/>
        </w:numPr>
        <w:spacing w:after="40" w:before="40"/>
      </w:pPr>
      <w:r>
        <w:rPr>
          <w:rFonts w:ascii="Arial" w:cs="Arial" w:eastAsia="Arial" w:hAnsi="Arial"/>
          <w:sz w:val="22"/>
          <w:szCs w:val="22"/>
        </w:rPr>
        <w:t xml:space="preserve">ISO/IEC 27001:2022 Annex A.8.32 mensyaratkan adanya proses manajemen perubahan yang terstruktur, terdokumentasi, dan memiliki mekanisme persetujuan yang jelas.</w:t>
      </w:r>
    </w:p>
    <w:p>
      <w:pPr>
        <w:pStyle w:val="ListParagraph"/>
        <w:numPr>
          <w:ilvl w:val="0"/>
          <w:numId w:val="2"/>
        </w:numPr>
        <w:spacing w:after="40" w:before="40"/>
      </w:pPr>
      <w:r>
        <w:rPr>
          <w:rFonts w:ascii="Arial" w:cs="Arial" w:eastAsia="Arial" w:hAnsi="Arial"/>
          <w:sz w:val="22"/>
          <w:szCs w:val="22"/>
        </w:rPr>
        <w:t xml:space="preserve">ITIL 4 Change Enablement Practice merekomendasikan pembentukan Change Advisory Board sebagai forum pengambilan keputusan untuk mengelola risiko perubahan secara kolaboratif lintas fungsi.</w:t>
      </w:r>
    </w:p>
    <w:p>
      <w:pPr>
        <w:pStyle w:val="ListParagraph"/>
        <w:numPr>
          <w:ilvl w:val="0"/>
          <w:numId w:val="2"/>
        </w:numPr>
        <w:spacing w:after="40" w:before="40"/>
      </w:pPr>
      <w:r>
        <w:rPr>
          <w:rFonts w:ascii="Arial" w:cs="Arial" w:eastAsia="Arial" w:hAnsi="Arial"/>
          <w:sz w:val="22"/>
          <w:szCs w:val="22"/>
        </w:rPr>
        <w:t xml:space="preserve">Diperlukan suatu badan formal yang berwenang mereview, menyetujui, dan mengkoordinasikan seluruh perubahan pada sistem informasi agar tidak mengganggu layanan operasional perusahaan.</w:t>
      </w:r>
    </w:p>
    <w:p>
      <w:r>
        <w:rPr>
          <w:sz w:val="22"/>
          <w:szCs w:val="22"/>
        </w:rPr>
        <w:t xml:space="preserve"/>
      </w:r>
    </w:p>
    <w:p>
      <w:pPr>
        <w:pStyle w:val="Heading1"/>
        <w:spacing w:after="120" w:before="240"/>
      </w:pPr>
      <w:r>
        <w:rPr>
          <w:rFonts w:ascii="Arial" w:cs="Arial" w:eastAsia="Arial" w:hAnsi="Arial"/>
          <w:b/>
          <w:bCs/>
          <w:color w:val="1F4E79"/>
          <w:sz w:val="26"/>
          <w:szCs w:val="26"/>
        </w:rPr>
        <w:t xml:space="preserve">MENGINGAT</w:t>
      </w:r>
    </w:p>
    <w:p>
      <w:pPr>
        <w:pStyle w:val="ListParagraph"/>
        <w:numPr>
          <w:ilvl w:val="0"/>
          <w:numId w:val="2"/>
        </w:numPr>
        <w:spacing w:after="40" w:before="40"/>
      </w:pPr>
      <w:r>
        <w:rPr>
          <w:rFonts w:ascii="Arial" w:cs="Arial" w:eastAsia="Arial" w:hAnsi="Arial"/>
          <w:sz w:val="22"/>
          <w:szCs w:val="22"/>
        </w:rPr>
        <w:t xml:space="preserve">Undang-Undang Nomor 40 Tahun 2014 tentang Perasuransian.</w:t>
      </w:r>
    </w:p>
    <w:p>
      <w:pPr>
        <w:pStyle w:val="ListParagraph"/>
        <w:numPr>
          <w:ilvl w:val="0"/>
          <w:numId w:val="2"/>
        </w:numPr>
        <w:spacing w:after="40" w:before="40"/>
      </w:pPr>
      <w:r>
        <w:rPr>
          <w:rFonts w:ascii="Arial" w:cs="Arial" w:eastAsia="Arial" w:hAnsi="Arial"/>
          <w:sz w:val="22"/>
          <w:szCs w:val="22"/>
        </w:rPr>
        <w:t xml:space="preserve">Peraturan OJK Nomor 73/POJK.05/2016 tentang Tata Kelola Perusahaan yang Baik bagi Perusahaan Perasuransian.</w:t>
      </w:r>
    </w:p>
    <w:p>
      <w:pPr>
        <w:pStyle w:val="ListParagraph"/>
        <w:numPr>
          <w:ilvl w:val="0"/>
          <w:numId w:val="2"/>
        </w:numPr>
        <w:spacing w:after="40" w:before="40"/>
      </w:pPr>
      <w:r>
        <w:rPr>
          <w:rFonts w:ascii="Arial" w:cs="Arial" w:eastAsia="Arial" w:hAnsi="Arial"/>
          <w:sz w:val="22"/>
          <w:szCs w:val="22"/>
        </w:rPr>
        <w:t xml:space="preserve">ISO/IEC 27001:2022 — Information Security Management Systems, khususnya Annex A.8.32 (Change Management) dan Clause 8.1 (Operational Planning and Control).</w:t>
      </w:r>
    </w:p>
    <w:p>
      <w:pPr>
        <w:pStyle w:val="ListParagraph"/>
        <w:numPr>
          <w:ilvl w:val="0"/>
          <w:numId w:val="2"/>
        </w:numPr>
        <w:spacing w:after="40" w:before="40"/>
      </w:pPr>
      <w:r>
        <w:rPr>
          <w:rFonts w:ascii="Arial" w:cs="Arial" w:eastAsia="Arial" w:hAnsi="Arial"/>
          <w:sz w:val="22"/>
          <w:szCs w:val="22"/>
        </w:rPr>
        <w:t xml:space="preserve">ITIL 4 Foundation: IT Service Management — Change Enablement Practice.</w:t>
      </w:r>
    </w:p>
    <w:p>
      <w:pPr>
        <w:pStyle w:val="ListParagraph"/>
        <w:numPr>
          <w:ilvl w:val="0"/>
          <w:numId w:val="2"/>
        </w:numPr>
        <w:spacing w:after="40" w:before="40"/>
      </w:pPr>
      <w:r>
        <w:rPr>
          <w:rFonts w:ascii="Arial" w:cs="Arial" w:eastAsia="Arial" w:hAnsi="Arial"/>
          <w:sz w:val="22"/>
          <w:szCs w:val="22"/>
        </w:rPr>
        <w:t xml:space="preserve">SK No. 008/HCD-SK/III/2026 tentang Struktur Organisasi PT Equity Life Indonesia.</w:t>
      </w:r>
    </w:p>
    <w:p>
      <w:pPr>
        <w:pStyle w:val="ListParagraph"/>
        <w:numPr>
          <w:ilvl w:val="0"/>
          <w:numId w:val="2"/>
        </w:numPr>
        <w:spacing w:after="40" w:before="40"/>
      </w:pPr>
      <w:r>
        <w:rPr>
          <w:rFonts w:ascii="Arial" w:cs="Arial" w:eastAsia="Arial" w:hAnsi="Arial"/>
          <w:sz w:val="22"/>
          <w:szCs w:val="22"/>
        </w:rPr>
        <w:t xml:space="preserve">Prosedur Operasional PO-ITS-107 (Pengelolaan Insiden TI) dan PO-ITS-109 (Pengelolaan Change Request dan Project IT).</w:t>
      </w:r>
    </w:p>
    <w:p>
      <w:r>
        <w:rPr>
          <w:sz w:val="22"/>
          <w:szCs w:val="22"/>
        </w:rPr>
        <w:t xml:space="preserve"/>
      </w:r>
    </w:p>
    <w:p>
      <w:pPr>
        <w:pStyle w:val="Heading1"/>
        <w:spacing w:after="120" w:before="240"/>
      </w:pPr>
      <w:r>
        <w:rPr>
          <w:rFonts w:ascii="Arial" w:cs="Arial" w:eastAsia="Arial" w:hAnsi="Arial"/>
          <w:b/>
          <w:bCs/>
          <w:color w:val="1F4E79"/>
          <w:sz w:val="26"/>
          <w:szCs w:val="26"/>
        </w:rPr>
        <w:t xml:space="preserve">MEMUTUSKAN</w:t>
      </w:r>
    </w:p>
    <w:p>
      <w:pPr>
        <w:spacing w:after="100" w:before="100"/>
        <w:jc w:val="left"/>
      </w:pPr>
      <w:r>
        <w:rPr>
          <w:rFonts w:ascii="Arial" w:cs="Arial" w:eastAsia="Arial" w:hAnsi="Arial"/>
          <w:b/>
          <w:bCs/>
          <w:i w:val="false"/>
          <w:iCs w:val="false"/>
          <w:color w:val="000000"/>
          <w:sz w:val="22"/>
          <w:szCs w:val="22"/>
        </w:rPr>
        <w:t xml:space="preserve">MENETAPKAN : SURAT KEPUTUSAN TENTANG PEMBENTUKAN CHANGE ADVISORY BOARD (CAB) TEKNOLOGI INFORMASI PT EQUITY LIFE INDONESIA.</w:t>
      </w:r>
    </w:p>
    <w:p>
      <w:r>
        <w:rPr>
          <w:sz w:val="22"/>
          <w:szCs w:val="22"/>
        </w:rPr>
        <w:t xml:space="preserve"/>
      </w:r>
    </w:p>
    <w:p>
      <w:pPr>
        <w:pStyle w:val="Heading2"/>
        <w:spacing w:after="100" w:before="180"/>
      </w:pPr>
      <w:r>
        <w:rPr>
          <w:rFonts w:ascii="Arial" w:cs="Arial" w:eastAsia="Arial" w:hAnsi="Arial"/>
          <w:b/>
          <w:bCs/>
          <w:color w:val="2E75B6"/>
          <w:sz w:val="23"/>
          <w:szCs w:val="23"/>
        </w:rPr>
        <w:t xml:space="preserve">Pasal 1 — Ketentuan Umum</w:t>
      </w:r>
    </w:p>
    <w:p>
      <w:pPr>
        <w:spacing w:after="100" w:before="100"/>
        <w:jc w:val="left"/>
      </w:pPr>
      <w:r>
        <w:rPr>
          <w:rFonts w:ascii="Arial" w:cs="Arial" w:eastAsia="Arial" w:hAnsi="Arial"/>
          <w:b w:val="false"/>
          <w:bCs w:val="false"/>
          <w:i w:val="false"/>
          <w:iCs w:val="false"/>
          <w:color w:val="000000"/>
          <w:sz w:val="22"/>
          <w:szCs w:val="22"/>
        </w:rPr>
        <w:t xml:space="preserve">Dalam Surat Keputusan ini yang dimaksud dengan:</w:t>
      </w:r>
    </w:p>
    <w:p>
      <w:pPr>
        <w:pStyle w:val="ListParagraph"/>
        <w:numPr>
          <w:ilvl w:val="0"/>
          <w:numId w:val="2"/>
        </w:numPr>
        <w:spacing w:after="40" w:before="40"/>
      </w:pPr>
      <w:r>
        <w:rPr>
          <w:rFonts w:ascii="Arial" w:cs="Arial" w:eastAsia="Arial" w:hAnsi="Arial"/>
          <w:sz w:val="22"/>
          <w:szCs w:val="22"/>
        </w:rPr>
        <w:t xml:space="preserve">Change Advisory Board (CAB) adalah badan formal yang bertanggung jawab untuk mereview, mengevaluasi risiko, dan memberikan rekomendasi persetujuan terhadap perubahan pada sistem informasi, aplikasi, dan infrastruktur IT PT Equity Life Indonesia.</w:t>
      </w:r>
    </w:p>
    <w:p>
      <w:pPr>
        <w:pStyle w:val="ListParagraph"/>
        <w:numPr>
          <w:ilvl w:val="0"/>
          <w:numId w:val="2"/>
        </w:numPr>
        <w:spacing w:after="40" w:before="40"/>
      </w:pPr>
      <w:r>
        <w:rPr>
          <w:rFonts w:ascii="Arial" w:cs="Arial" w:eastAsia="Arial" w:hAnsi="Arial"/>
          <w:sz w:val="22"/>
          <w:szCs w:val="22"/>
        </w:rPr>
        <w:t xml:space="preserve">Normal Change adalah perubahan baru atau tidak rutin yang memerlukan review risiko dan dampak secara menyeluruh sebelum diimplementasikan.</w:t>
      </w:r>
    </w:p>
    <w:p>
      <w:pPr>
        <w:pStyle w:val="ListParagraph"/>
        <w:numPr>
          <w:ilvl w:val="0"/>
          <w:numId w:val="2"/>
        </w:numPr>
        <w:spacing w:after="40" w:before="40"/>
      </w:pPr>
      <w:r>
        <w:rPr>
          <w:rFonts w:ascii="Arial" w:cs="Arial" w:eastAsia="Arial" w:hAnsi="Arial"/>
          <w:sz w:val="22"/>
          <w:szCs w:val="22"/>
        </w:rPr>
        <w:t xml:space="preserve">Emergency Change adalah perubahan mendesak yang harus dilakukan segera untuk mengatasi gangguan layanan kritis atau kerentanan keamanan aktif.</w:t>
      </w:r>
    </w:p>
    <w:p>
      <w:pPr>
        <w:pStyle w:val="ListParagraph"/>
        <w:numPr>
          <w:ilvl w:val="0"/>
          <w:numId w:val="2"/>
        </w:numPr>
        <w:spacing w:after="40" w:before="40"/>
      </w:pPr>
      <w:r>
        <w:rPr>
          <w:rFonts w:ascii="Arial" w:cs="Arial" w:eastAsia="Arial" w:hAnsi="Arial"/>
          <w:sz w:val="22"/>
          <w:szCs w:val="22"/>
        </w:rPr>
        <w:t xml:space="preserve">Standard Change adalah perubahan rutin bersiko rendah yang sudah memiliki prosedur baku dan tidak memerlukan review CAB penuh.</w:t>
      </w:r>
    </w:p>
    <w:p>
      <w:pPr>
        <w:pStyle w:val="ListParagraph"/>
        <w:numPr>
          <w:ilvl w:val="0"/>
          <w:numId w:val="2"/>
        </w:numPr>
        <w:spacing w:after="40" w:before="40"/>
      </w:pPr>
      <w:r>
        <w:rPr>
          <w:rFonts w:ascii="Arial" w:cs="Arial" w:eastAsia="Arial" w:hAnsi="Arial"/>
          <w:sz w:val="22"/>
          <w:szCs w:val="22"/>
        </w:rPr>
        <w:t xml:space="preserve">Emergency CAB (ECAB) adalah subset dari CAB yang dapat mengambil keputusan dalam waktu singkat untuk menyetujui Emergency Change.</w:t>
      </w:r>
    </w:p>
    <w:p>
      <w:pPr>
        <w:pStyle w:val="ListParagraph"/>
        <w:numPr>
          <w:ilvl w:val="0"/>
          <w:numId w:val="2"/>
        </w:numPr>
        <w:spacing w:after="40" w:before="40"/>
      </w:pPr>
      <w:r>
        <w:rPr>
          <w:rFonts w:ascii="Arial" w:cs="Arial" w:eastAsia="Arial" w:hAnsi="Arial"/>
          <w:sz w:val="22"/>
          <w:szCs w:val="22"/>
        </w:rPr>
        <w:t xml:space="preserve">Change Manager adalah penanggung jawab operasional seluruh proses Change Management, dijabat oleh Head of Core System Application.</w:t>
      </w:r>
    </w:p>
    <w:p>
      <w:pPr>
        <w:pStyle w:val="ListParagraph"/>
        <w:numPr>
          <w:ilvl w:val="0"/>
          <w:numId w:val="2"/>
        </w:numPr>
        <w:spacing w:after="40" w:before="40"/>
      </w:pPr>
      <w:r>
        <w:rPr>
          <w:rFonts w:ascii="Arial" w:cs="Arial" w:eastAsia="Arial" w:hAnsi="Arial"/>
          <w:sz w:val="22"/>
          <w:szCs w:val="22"/>
        </w:rPr>
        <w:t xml:space="preserve">Change Calendar adalah jadwal terpusat yang berisi semua perubahan yang telah disetujui dan direncanakan untuk diimplementasikan.</w:t>
      </w:r>
    </w:p>
    <w:p>
      <w:pPr>
        <w:pStyle w:val="ListParagraph"/>
        <w:numPr>
          <w:ilvl w:val="0"/>
          <w:numId w:val="2"/>
        </w:numPr>
        <w:spacing w:after="40" w:before="40"/>
      </w:pPr>
      <w:r>
        <w:rPr>
          <w:rFonts w:ascii="Arial" w:cs="Arial" w:eastAsia="Arial" w:hAnsi="Arial"/>
          <w:sz w:val="22"/>
          <w:szCs w:val="22"/>
        </w:rPr>
        <w:t xml:space="preserve">Freeze Period adalah periode di mana tidak ada Normal Change yang diizinkan, hanya Emergency Change atas persetujuan CTIO.</w:t>
      </w:r>
    </w:p>
    <w:p>
      <w:r>
        <w:rPr>
          <w:sz w:val="22"/>
          <w:szCs w:val="22"/>
        </w:rPr>
        <w:t xml:space="preserve"/>
      </w:r>
    </w:p>
    <w:p>
      <w:pPr>
        <w:pStyle w:val="Heading2"/>
        <w:spacing w:after="100" w:before="180"/>
      </w:pPr>
      <w:r>
        <w:rPr>
          <w:rFonts w:ascii="Arial" w:cs="Arial" w:eastAsia="Arial" w:hAnsi="Arial"/>
          <w:b/>
          <w:bCs/>
          <w:color w:val="2E75B6"/>
          <w:sz w:val="23"/>
          <w:szCs w:val="23"/>
        </w:rPr>
        <w:t xml:space="preserve">Pasal 2 — Pembentukan CAB</w:t>
      </w:r>
    </w:p>
    <w:p>
      <w:pPr>
        <w:spacing w:after="100" w:before="100"/>
        <w:jc w:val="left"/>
      </w:pPr>
      <w:r>
        <w:rPr>
          <w:rFonts w:ascii="Arial" w:cs="Arial" w:eastAsia="Arial" w:hAnsi="Arial"/>
          <w:b w:val="false"/>
          <w:bCs w:val="false"/>
          <w:i w:val="false"/>
          <w:iCs w:val="false"/>
          <w:color w:val="000000"/>
          <w:sz w:val="22"/>
          <w:szCs w:val="22"/>
        </w:rPr>
        <w:t xml:space="preserve">(1) Dengan berlakunya SK ini, dibentuk Change Advisory Board (CAB) Teknologi Informasi PT Equity Life Indonesia.</w:t>
      </w:r>
    </w:p>
    <w:p>
      <w:pPr>
        <w:spacing w:after="100" w:before="100"/>
        <w:jc w:val="left"/>
      </w:pPr>
      <w:r>
        <w:rPr>
          <w:rFonts w:ascii="Arial" w:cs="Arial" w:eastAsia="Arial" w:hAnsi="Arial"/>
          <w:b w:val="false"/>
          <w:bCs w:val="false"/>
          <w:i w:val="false"/>
          <w:iCs w:val="false"/>
          <w:color w:val="000000"/>
          <w:sz w:val="22"/>
          <w:szCs w:val="22"/>
        </w:rPr>
        <w:t xml:space="preserve">(2) CAB merupakan badan lintas fungsi yang bersifat permanen dan beroperasi secara rutin selama perusahaan berjalan.</w:t>
      </w:r>
    </w:p>
    <w:p>
      <w:pPr>
        <w:spacing w:after="100" w:before="100"/>
        <w:jc w:val="left"/>
      </w:pPr>
      <w:r>
        <w:rPr>
          <w:rFonts w:ascii="Arial" w:cs="Arial" w:eastAsia="Arial" w:hAnsi="Arial"/>
          <w:b w:val="false"/>
          <w:bCs w:val="false"/>
          <w:i w:val="false"/>
          <w:iCs w:val="false"/>
          <w:color w:val="000000"/>
          <w:sz w:val="22"/>
          <w:szCs w:val="22"/>
        </w:rPr>
        <w:t xml:space="preserve">(3) CAB berkedudukan di bawah Technology &amp; Information Directorate dan bertanggung jawab kepada CTIO.</w:t>
      </w:r>
    </w:p>
    <w:p>
      <w:r>
        <w:rPr>
          <w:sz w:val="22"/>
          <w:szCs w:val="22"/>
        </w:rPr>
        <w:t xml:space="preserve"/>
      </w:r>
    </w:p>
    <w:p>
      <w:pPr>
        <w:pStyle w:val="Heading2"/>
        <w:spacing w:after="100" w:before="180"/>
      </w:pPr>
      <w:r>
        <w:rPr>
          <w:rFonts w:ascii="Arial" w:cs="Arial" w:eastAsia="Arial" w:hAnsi="Arial"/>
          <w:b/>
          <w:bCs/>
          <w:color w:val="2E75B6"/>
          <w:sz w:val="23"/>
          <w:szCs w:val="23"/>
        </w:rPr>
        <w:t xml:space="preserve">Pasal 3 — Susunan Keanggotaan CAB</w:t>
      </w:r>
    </w:p>
    <w:p>
      <w:pPr>
        <w:spacing w:after="100" w:before="100"/>
        <w:jc w:val="left"/>
      </w:pPr>
      <w:r>
        <w:rPr>
          <w:rFonts w:ascii="Arial" w:cs="Arial" w:eastAsia="Arial" w:hAnsi="Arial"/>
          <w:b w:val="false"/>
          <w:bCs w:val="false"/>
          <w:i w:val="false"/>
          <w:iCs w:val="false"/>
          <w:color w:val="000000"/>
          <w:sz w:val="22"/>
          <w:szCs w:val="22"/>
        </w:rPr>
        <w:t xml:space="preserve">(1) Susunan keanggotaan CAB adalah sebagai berikut: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2600"/>
        <w:gridCol w:w="2400"/>
      </w:tblGrid>
      <w:tr>
        <w:tc>
          <w:tcPr>
            <w:tcW w:type="dxa" w:w="1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Jabatan dalam CAB</w:t>
            </w:r>
          </w:p>
        </w:tc>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Dijabat oleh</w:t>
            </w:r>
          </w:p>
        </w:tc>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 / Departemen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1</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Ketua CAB (CAB Chair)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Development Security Operation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Development Security Operation</w:t>
            </w:r>
          </w:p>
          <w:p>
            <w:pPr>
              <w:spacing w:after="30" w:before="30"/>
              <w:jc w:val="left"/>
            </w:pPr>
            <w:r>
              <w:rPr>
                <w:rFonts w:ascii="Arial" w:cs="Arial" w:eastAsia="Arial" w:hAnsi="Arial"/>
                <w:b w:val="false"/>
                <w:bCs w:val="false"/>
                <w:color w:val="000000"/>
                <w:sz w:val="19"/>
                <w:szCs w:val="19"/>
              </w:rPr>
              <w:t xml:space="preserve">(Digital Solution Development)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Wakil Ketua CAB</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Core System Application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IT Operation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3</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Sekretaris CAB / Change Manager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Core System Application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IT Operation</w:t>
            </w:r>
          </w:p>
          <w:p>
            <w:pPr>
              <w:spacing w:after="30" w:before="30"/>
              <w:jc w:val="left"/>
            </w:pPr>
            <w:r>
              <w:rPr>
                <w:rFonts w:ascii="Arial" w:cs="Arial" w:eastAsia="Arial" w:hAnsi="Arial"/>
                <w:b w:val="false"/>
                <w:bCs w:val="false"/>
                <w:color w:val="000000"/>
                <w:sz w:val="19"/>
                <w:szCs w:val="19"/>
              </w:rPr>
              <w:t xml:space="preserve">(Information Technology Operation)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4</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Reviewer Keamanan (CAB Member — Independen)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IT Security &amp; Governance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IT Security &amp; Governance</w:t>
            </w:r>
          </w:p>
          <w:p>
            <w:pPr>
              <w:spacing w:after="30" w:before="30"/>
              <w:jc w:val="left"/>
            </w:pPr>
            <w:r>
              <w:rPr>
                <w:rFonts w:ascii="Arial" w:cs="Arial" w:eastAsia="Arial" w:hAnsi="Arial"/>
                <w:b w:val="false"/>
                <w:bCs w:val="false"/>
                <w:color w:val="000000"/>
                <w:sz w:val="19"/>
                <w:szCs w:val="19"/>
              </w:rPr>
              <w:t xml:space="preserve">(IT Operation)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5</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Tetap — IT Infrastructure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IT Infrastructure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IT Operation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6</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Tetap — Application Development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Apps Development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Digital Solution Development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7</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Tetap — Data &amp; Analytics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Data Management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Digital Solution Development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8</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Tetap — Business Analysis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Business Analyst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Digital Solution Development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9</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Undangan — Risk Management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Risk Analysis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Risk Management</w:t>
            </w:r>
          </w:p>
          <w:p>
            <w:pPr>
              <w:spacing w:after="30" w:before="30"/>
              <w:jc w:val="left"/>
            </w:pPr>
            <w:r>
              <w:rPr>
                <w:rFonts w:ascii="Arial" w:cs="Arial" w:eastAsia="Arial" w:hAnsi="Arial"/>
                <w:b w:val="false"/>
                <w:bCs w:val="false"/>
                <w:color w:val="000000"/>
                <w:sz w:val="19"/>
                <w:szCs w:val="19"/>
              </w:rPr>
              <w:t xml:space="preserve">(Compliance Directorate)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10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Undangan — Business Representative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Manajer unit kerja terdampak</w:t>
            </w:r>
          </w:p>
          <w:p>
            <w:pPr>
              <w:spacing w:after="30" w:before="30"/>
              <w:jc w:val="left"/>
            </w:pPr>
            <w:r>
              <w:rPr>
                <w:rFonts w:ascii="Arial" w:cs="Arial" w:eastAsia="Arial" w:hAnsi="Arial"/>
                <w:b w:val="false"/>
                <w:bCs w:val="false"/>
                <w:color w:val="000000"/>
                <w:sz w:val="19"/>
                <w:szCs w:val="19"/>
              </w:rPr>
              <w:t xml:space="preserve">(sesuai CR yang dibahas)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Sesuai unit terdampak</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11</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Pengawas (Advisory) — CTIO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Chief Technology &amp; Information Officer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Technology &amp; Information Directorate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0F0" w:val="clear"/>
            <w:tcMar>
              <w:top w:type="dxa" w:w="160"/>
              <w:left w:type="dxa" w:w="200"/>
              <w:bottom w:type="dxa" w:w="160"/>
              <w:right w:type="dxa" w:w="200"/>
            </w:tcMar>
          </w:tcPr>
          <w:p>
            <w:pPr>
              <w:spacing w:after="80" w:before="60"/>
            </w:pPr>
            <w:r>
              <w:rPr>
                <w:rFonts w:ascii="Arial" w:cs="Arial" w:eastAsia="Arial" w:hAnsi="Arial"/>
                <w:b/>
                <w:bCs/>
                <w:color w:val="7B0000"/>
                <w:sz w:val="22"/>
                <w:szCs w:val="22"/>
              </w:rPr>
              <w:t xml:space="preserve">⚠  KLAUSUL INDEPENDENSI — PENCEGAHAN KONFLIK KEPENTINGAN</w:t>
            </w:r>
          </w:p>
          <w:p>
            <w:pPr>
              <w:spacing w:after="60" w:before="40"/>
            </w:pPr>
            <w:r>
              <w:rPr>
                <w:rFonts w:ascii="Arial" w:cs="Arial" w:eastAsia="Arial" w:hAnsi="Arial"/>
                <w:color w:val="000000"/>
                <w:sz w:val="21"/>
                <w:szCs w:val="21"/>
              </w:rPr>
              <w:t xml:space="preserve">Apabila Change Request (CR) yang diajukan berasal dari atau berdampak langsung pada unit Core System Application, maka peran Change Manager dan fungsi persetujuan Wakil Ketua CAB untuk tiket tersebut secara otomatis didelegasikan kepada Head of IT Infrastructure (atau anggota CAB independen lainnya yang ditunjuk Ketua CAB) untuk mencegah konflik kepentingan. Pendelegasian ini wajib dicatat dalam risalah CAB.</w:t>
            </w:r>
          </w:p>
        </w:tc>
      </w:tr>
    </w:tbl>
    <w:p>
      <w:r>
        <w:rPr>
          <w:sz w:val="22"/>
          <w:szCs w:val="22"/>
        </w:rPr>
        <w:t xml:space="preserve"/>
      </w:r>
    </w:p>
    <w:p>
      <w:pPr>
        <w:spacing w:after="100" w:before="100"/>
        <w:jc w:val="left"/>
      </w:pPr>
      <w:r>
        <w:rPr>
          <w:rFonts w:ascii="Arial" w:cs="Arial" w:eastAsia="Arial" w:hAnsi="Arial"/>
          <w:b w:val="false"/>
          <w:bCs w:val="false"/>
          <w:i w:val="false"/>
          <w:iCs w:val="false"/>
          <w:color w:val="000000"/>
          <w:sz w:val="22"/>
          <w:szCs w:val="22"/>
        </w:rPr>
        <w:t xml:space="preserve">(2) CTIO berperan sebagai pengawas strategis CAB. Final approval untuk Normal Change berdampak tinggi (Tier 1 Project atau Multi-Directorate Impact) memerlukan persetujuan CTIO.</w:t>
      </w:r>
    </w:p>
    <w:p>
      <w:pPr>
        <w:spacing w:after="100" w:before="100"/>
        <w:jc w:val="left"/>
      </w:pPr>
      <w:r>
        <w:rPr>
          <w:rFonts w:ascii="Arial" w:cs="Arial" w:eastAsia="Arial" w:hAnsi="Arial"/>
          <w:b w:val="false"/>
          <w:bCs w:val="false"/>
          <w:i w:val="false"/>
          <w:iCs w:val="false"/>
          <w:color w:val="000000"/>
          <w:sz w:val="22"/>
          <w:szCs w:val="22"/>
        </w:rPr>
        <w:t xml:space="preserve">(3) Keanggotaan dapat disesuaikan oleh CTIO sesuai kebutuhan organisasi dengan mengeluarkan adendum SK ini.</w:t>
      </w:r>
    </w:p>
    <w:p>
      <w:r>
        <w:rPr>
          <w:sz w:val="22"/>
          <w:szCs w:val="22"/>
        </w:rPr>
        <w:t xml:space="preserve"/>
      </w:r>
    </w:p>
    <w:p>
      <w:pPr>
        <w:pStyle w:val="Heading2"/>
        <w:spacing w:after="100" w:before="180"/>
      </w:pPr>
      <w:r>
        <w:rPr>
          <w:rFonts w:ascii="Arial" w:cs="Arial" w:eastAsia="Arial" w:hAnsi="Arial"/>
          <w:b/>
          <w:bCs/>
          <w:color w:val="2E75B6"/>
          <w:sz w:val="23"/>
          <w:szCs w:val="23"/>
        </w:rPr>
        <w:t xml:space="preserve">Pasal 4 — Tugas dan Wewenang CAB</w:t>
      </w:r>
    </w:p>
    <w:p>
      <w:pPr>
        <w:spacing w:after="100" w:before="100"/>
        <w:jc w:val="left"/>
      </w:pPr>
      <w:r>
        <w:rPr>
          <w:rFonts w:ascii="Arial" w:cs="Arial" w:eastAsia="Arial" w:hAnsi="Arial"/>
          <w:b w:val="false"/>
          <w:bCs w:val="false"/>
          <w:i w:val="false"/>
          <w:iCs w:val="false"/>
          <w:color w:val="000000"/>
          <w:sz w:val="22"/>
          <w:szCs w:val="22"/>
        </w:rPr>
        <w:t xml:space="preserve">(1) Tugas CAB secara keseluruhan:</w:t>
      </w:r>
    </w:p>
    <w:p>
      <w:pPr>
        <w:pStyle w:val="ListParagraph"/>
        <w:numPr>
          <w:ilvl w:val="0"/>
          <w:numId w:val="3"/>
        </w:numPr>
        <w:spacing w:after="40" w:before="40"/>
      </w:pPr>
      <w:r>
        <w:rPr>
          <w:rFonts w:ascii="Arial" w:cs="Arial" w:eastAsia="Arial" w:hAnsi="Arial"/>
          <w:sz w:val="22"/>
          <w:szCs w:val="22"/>
        </w:rPr>
        <w:t xml:space="preserve">Melakukan review terhadap seluruh Normal Change sebelum diimplementasikan ke lingkungan produksi.</w:t>
      </w:r>
    </w:p>
    <w:p>
      <w:pPr>
        <w:pStyle w:val="ListParagraph"/>
        <w:numPr>
          <w:ilvl w:val="0"/>
          <w:numId w:val="3"/>
        </w:numPr>
        <w:spacing w:after="40" w:before="40"/>
      </w:pPr>
      <w:r>
        <w:rPr>
          <w:rFonts w:ascii="Arial" w:cs="Arial" w:eastAsia="Arial" w:hAnsi="Arial"/>
          <w:sz w:val="22"/>
          <w:szCs w:val="22"/>
        </w:rPr>
        <w:t xml:space="preserve">Mengevaluasi dampak teknis, risiko bisnis, keamanan informasi, dan kepatuhan regulasi dari setiap CR.</w:t>
      </w:r>
    </w:p>
    <w:p>
      <w:pPr>
        <w:pStyle w:val="ListParagraph"/>
        <w:numPr>
          <w:ilvl w:val="0"/>
          <w:numId w:val="3"/>
        </w:numPr>
        <w:spacing w:after="40" w:before="40"/>
      </w:pPr>
      <w:r>
        <w:rPr>
          <w:rFonts w:ascii="Arial" w:cs="Arial" w:eastAsia="Arial" w:hAnsi="Arial"/>
          <w:sz w:val="22"/>
          <w:szCs w:val="22"/>
        </w:rPr>
        <w:t xml:space="preserve">Memberikan keputusan: Disetujui / Ditolak / Ditunda (dengan catatan perbaikan yang harus dipenuhi).</w:t>
      </w:r>
    </w:p>
    <w:p>
      <w:pPr>
        <w:pStyle w:val="ListParagraph"/>
        <w:numPr>
          <w:ilvl w:val="0"/>
          <w:numId w:val="3"/>
        </w:numPr>
        <w:spacing w:after="40" w:before="40"/>
      </w:pPr>
      <w:r>
        <w:rPr>
          <w:rFonts w:ascii="Arial" w:cs="Arial" w:eastAsia="Arial" w:hAnsi="Arial"/>
          <w:sz w:val="22"/>
          <w:szCs w:val="22"/>
        </w:rPr>
        <w:t xml:space="preserve">Memelihara dan memantau Change Calendar agar tidak terjadi konflik implementasi.</w:t>
      </w:r>
    </w:p>
    <w:p>
      <w:pPr>
        <w:pStyle w:val="ListParagraph"/>
        <w:numPr>
          <w:ilvl w:val="0"/>
          <w:numId w:val="3"/>
        </w:numPr>
        <w:spacing w:after="40" w:before="40"/>
      </w:pPr>
      <w:r>
        <w:rPr>
          <w:rFonts w:ascii="Arial" w:cs="Arial" w:eastAsia="Arial" w:hAnsi="Arial"/>
          <w:sz w:val="22"/>
          <w:szCs w:val="22"/>
        </w:rPr>
        <w:t xml:space="preserve">Mendeklarasikan Freeze Period dengan pemberitahuan minimal 1 (satu) minggu sebelumnya.</w:t>
      </w:r>
    </w:p>
    <w:p>
      <w:pPr>
        <w:pStyle w:val="ListParagraph"/>
        <w:numPr>
          <w:ilvl w:val="0"/>
          <w:numId w:val="3"/>
        </w:numPr>
        <w:spacing w:after="40" w:before="40"/>
      </w:pPr>
      <w:r>
        <w:rPr>
          <w:rFonts w:ascii="Arial" w:cs="Arial" w:eastAsia="Arial" w:hAnsi="Arial"/>
          <w:sz w:val="22"/>
          <w:szCs w:val="22"/>
        </w:rPr>
        <w:t xml:space="preserve">Melakukan review bulanan atas metrik Change Management: success rate, rollback rate, Emergency Change rate.</w:t>
      </w:r>
    </w:p>
    <w:p>
      <w:r>
        <w:rPr>
          <w:sz w:val="22"/>
          <w:szCs w:val="22"/>
        </w:rPr>
        <w:t xml:space="preserve"/>
      </w:r>
    </w:p>
    <w:p>
      <w:pPr>
        <w:spacing w:after="100" w:before="100"/>
        <w:jc w:val="left"/>
      </w:pPr>
      <w:r>
        <w:rPr>
          <w:rFonts w:ascii="Arial" w:cs="Arial" w:eastAsia="Arial" w:hAnsi="Arial"/>
          <w:b w:val="false"/>
          <w:bCs w:val="false"/>
          <w:i w:val="false"/>
          <w:iCs w:val="false"/>
          <w:color w:val="000000"/>
          <w:sz w:val="22"/>
          <w:szCs w:val="22"/>
        </w:rPr>
        <w:t xml:space="preserve">(2) Tugas Ketua CAB (Head of Development Security Operation):</w:t>
      </w:r>
    </w:p>
    <w:p>
      <w:pPr>
        <w:pStyle w:val="ListParagraph"/>
        <w:numPr>
          <w:ilvl w:val="0"/>
          <w:numId w:val="3"/>
        </w:numPr>
        <w:spacing w:after="40" w:before="40"/>
      </w:pPr>
      <w:r>
        <w:rPr>
          <w:rFonts w:ascii="Arial" w:cs="Arial" w:eastAsia="Arial" w:hAnsi="Arial"/>
          <w:sz w:val="22"/>
          <w:szCs w:val="22"/>
        </w:rPr>
        <w:t xml:space="preserve">Memimpin seluruh rapat CAB dan ECAB.</w:t>
      </w:r>
    </w:p>
    <w:p>
      <w:pPr>
        <w:pStyle w:val="ListParagraph"/>
        <w:numPr>
          <w:ilvl w:val="0"/>
          <w:numId w:val="3"/>
        </w:numPr>
        <w:spacing w:after="40" w:before="40"/>
      </w:pPr>
      <w:r>
        <w:rPr>
          <w:rFonts w:ascii="Arial" w:cs="Arial" w:eastAsia="Arial" w:hAnsi="Arial"/>
          <w:sz w:val="22"/>
          <w:szCs w:val="22"/>
        </w:rPr>
        <w:t xml:space="preserve">Memastikan keputusan CAB dijalankan dan didokumentasikan dengan baik.</w:t>
      </w:r>
    </w:p>
    <w:p>
      <w:pPr>
        <w:pStyle w:val="ListParagraph"/>
        <w:numPr>
          <w:ilvl w:val="0"/>
          <w:numId w:val="3"/>
        </w:numPr>
        <w:spacing w:after="40" w:before="40"/>
      </w:pPr>
      <w:r>
        <w:rPr>
          <w:rFonts w:ascii="Arial" w:cs="Arial" w:eastAsia="Arial" w:hAnsi="Arial"/>
          <w:sz w:val="22"/>
          <w:szCs w:val="22"/>
        </w:rPr>
        <w:t xml:space="preserve">Melaporkan status Change Management kepada CTIO setiap bulan.</w:t>
      </w:r>
    </w:p>
    <w:p>
      <w:pPr>
        <w:pStyle w:val="ListParagraph"/>
        <w:numPr>
          <w:ilvl w:val="0"/>
          <w:numId w:val="3"/>
        </w:numPr>
        <w:spacing w:after="40" w:before="40"/>
      </w:pPr>
      <w:r>
        <w:rPr>
          <w:rFonts w:ascii="Arial" w:cs="Arial" w:eastAsia="Arial" w:hAnsi="Arial"/>
          <w:sz w:val="22"/>
          <w:szCs w:val="22"/>
        </w:rPr>
        <w:t xml:space="preserve">Menjadi narahubung utama antara CAB dengan CTIO untuk eskalasi Change berisiko tinggi.</w:t>
      </w:r>
    </w:p>
    <w:p>
      <w:r>
        <w:rPr>
          <w:sz w:val="22"/>
          <w:szCs w:val="22"/>
        </w:rPr>
        <w:t xml:space="preserve"/>
      </w:r>
    </w:p>
    <w:p>
      <w:pPr>
        <w:spacing w:after="100" w:before="100"/>
        <w:jc w:val="left"/>
      </w:pPr>
      <w:r>
        <w:rPr>
          <w:rFonts w:ascii="Arial" w:cs="Arial" w:eastAsia="Arial" w:hAnsi="Arial"/>
          <w:b w:val="false"/>
          <w:bCs w:val="false"/>
          <w:i w:val="false"/>
          <w:iCs w:val="false"/>
          <w:color w:val="000000"/>
          <w:sz w:val="22"/>
          <w:szCs w:val="22"/>
        </w:rPr>
        <w:t xml:space="preserve">(3) Tugas Sekretaris CAB / Change Manager:</w:t>
      </w:r>
    </w:p>
    <w:p>
      <w:pPr>
        <w:pStyle w:val="ListParagraph"/>
        <w:numPr>
          <w:ilvl w:val="0"/>
          <w:numId w:val="3"/>
        </w:numPr>
        <w:spacing w:after="40" w:before="40"/>
      </w:pPr>
      <w:r>
        <w:rPr>
          <w:rFonts w:ascii="Arial" w:cs="Arial" w:eastAsia="Arial" w:hAnsi="Arial"/>
          <w:sz w:val="22"/>
          <w:szCs w:val="22"/>
        </w:rPr>
        <w:t xml:space="preserve">Menerima dan melakukan review awal (completeness check) setiap CR yang masuk.</w:t>
      </w:r>
    </w:p>
    <w:p>
      <w:pPr>
        <w:pStyle w:val="ListParagraph"/>
        <w:numPr>
          <w:ilvl w:val="0"/>
          <w:numId w:val="3"/>
        </w:numPr>
        <w:spacing w:after="40" w:before="40"/>
      </w:pPr>
      <w:r>
        <w:rPr>
          <w:rFonts w:ascii="Arial" w:cs="Arial" w:eastAsia="Arial" w:hAnsi="Arial"/>
          <w:sz w:val="22"/>
          <w:szCs w:val="22"/>
        </w:rPr>
        <w:t xml:space="preserve">Menyiapkan agenda CAB Meeting dan mengirimkannya kepada anggota minimal 2 hari kerja sebelum rapat.</w:t>
      </w:r>
    </w:p>
    <w:p>
      <w:pPr>
        <w:pStyle w:val="ListParagraph"/>
        <w:numPr>
          <w:ilvl w:val="0"/>
          <w:numId w:val="3"/>
        </w:numPr>
        <w:spacing w:after="40" w:before="40"/>
      </w:pPr>
      <w:r>
        <w:rPr>
          <w:rFonts w:ascii="Arial" w:cs="Arial" w:eastAsia="Arial" w:hAnsi="Arial"/>
          <w:sz w:val="22"/>
          <w:szCs w:val="22"/>
        </w:rPr>
        <w:t xml:space="preserve">Mendokumentasikan seluruh keputusan CAB dalam Minutes of Meeting dan mendistribusikannya paling lambat 1 hari kerja setelah rapat.</w:t>
      </w:r>
    </w:p>
    <w:p>
      <w:pPr>
        <w:pStyle w:val="ListParagraph"/>
        <w:numPr>
          <w:ilvl w:val="0"/>
          <w:numId w:val="3"/>
        </w:numPr>
        <w:spacing w:after="40" w:before="40"/>
      </w:pPr>
      <w:r>
        <w:rPr>
          <w:rFonts w:ascii="Arial" w:cs="Arial" w:eastAsia="Arial" w:hAnsi="Arial"/>
          <w:sz w:val="22"/>
          <w:szCs w:val="22"/>
        </w:rPr>
        <w:t xml:space="preserve">Mengelola dan memperbarui Change Calendar.</w:t>
      </w:r>
    </w:p>
    <w:p>
      <w:pPr>
        <w:pStyle w:val="ListParagraph"/>
        <w:numPr>
          <w:ilvl w:val="0"/>
          <w:numId w:val="3"/>
        </w:numPr>
        <w:spacing w:after="40" w:before="40"/>
      </w:pPr>
      <w:r>
        <w:rPr>
          <w:rFonts w:ascii="Arial" w:cs="Arial" w:eastAsia="Arial" w:hAnsi="Arial"/>
          <w:sz w:val="22"/>
          <w:szCs w:val="22"/>
        </w:rPr>
        <w:t xml:space="preserve">Memantau pelaksanaan dan penutupan setiap CR yang sudah disetujui.</w:t>
      </w:r>
    </w:p>
    <w:p>
      <w:pPr>
        <w:pStyle w:val="ListParagraph"/>
        <w:numPr>
          <w:ilvl w:val="0"/>
          <w:numId w:val="3"/>
        </w:numPr>
        <w:spacing w:after="40" w:before="40"/>
      </w:pPr>
      <w:r>
        <w:rPr>
          <w:rFonts w:ascii="Arial" w:cs="Arial" w:eastAsia="Arial" w:hAnsi="Arial"/>
          <w:sz w:val="22"/>
          <w:szCs w:val="22"/>
        </w:rPr>
        <w:t xml:space="preserve">Mengkoordinasikan ECAB untuk Emergency Change.</w:t>
      </w:r>
    </w:p>
    <w:p>
      <w:r>
        <w:rPr>
          <w:sz w:val="22"/>
          <w:szCs w:val="22"/>
        </w:rPr>
        <w:t xml:space="preserve"/>
      </w:r>
    </w:p>
    <w:p>
      <w:pPr>
        <w:pStyle w:val="Heading2"/>
        <w:spacing w:after="100" w:before="180"/>
      </w:pPr>
      <w:r>
        <w:rPr>
          <w:rFonts w:ascii="Arial" w:cs="Arial" w:eastAsia="Arial" w:hAnsi="Arial"/>
          <w:b/>
          <w:bCs/>
          <w:color w:val="2E75B6"/>
          <w:sz w:val="23"/>
          <w:szCs w:val="23"/>
        </w:rPr>
        <w:t xml:space="preserve">Pasal 5 — RACI Matrix Change Management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20"/>
        <w:gridCol w:w="760"/>
        <w:gridCol w:w="820"/>
        <w:gridCol w:w="720"/>
        <w:gridCol w:w="620"/>
        <w:gridCol w:w="620"/>
        <w:gridCol w:w="620"/>
        <w:gridCol w:w="620"/>
        <w:gridCol w:w="620"/>
        <w:gridCol w:w="560"/>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Aktivitas</w:t>
            </w:r>
          </w:p>
        </w:tc>
        <w:tc>
          <w:tcPr>
            <w:tcW w:type="dxa" w:w="6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CTIO</w:t>
            </w:r>
          </w:p>
        </w:tc>
        <w:tc>
          <w:tcPr>
            <w:tcW w:type="dxa" w:w="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CAB Chair
(Head of Dev.
Security Op.)</w:t>
            </w:r>
          </w:p>
        </w:tc>
        <w:tc>
          <w:tcPr>
            <w:tcW w:type="dxa" w:w="8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Change Manager
(Head of Core System)</w:t>
            </w:r>
          </w:p>
        </w:tc>
        <w:tc>
          <w:tcPr>
            <w:tcW w:type="dxa" w:w="7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Reviewer
Keamanan
(IT Sec&amp;Gov)</w:t>
            </w:r>
          </w:p>
        </w:tc>
        <w:tc>
          <w:tcPr>
            <w:tcW w:type="dxa" w:w="6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Anggota
Infra</w:t>
            </w:r>
          </w:p>
        </w:tc>
        <w:tc>
          <w:tcPr>
            <w:tcW w:type="dxa" w:w="6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Anggota
Apps Dev</w:t>
            </w:r>
          </w:p>
        </w:tc>
        <w:tc>
          <w:tcPr>
            <w:tcW w:type="dxa" w:w="6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Anggota
Data Mgmt</w:t>
            </w:r>
          </w:p>
        </w:tc>
        <w:tc>
          <w:tcPr>
            <w:tcW w:type="dxa" w:w="6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Anggota
Risk</w:t>
            </w:r>
          </w:p>
        </w:tc>
        <w:tc>
          <w:tcPr>
            <w:tcW w:type="dxa" w:w="6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Anggota
BA</w:t>
            </w:r>
          </w:p>
        </w:tc>
        <w:tc>
          <w:tcPr>
            <w:tcW w:type="dxa" w:w="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Pemohon
(Requester)</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Identifikasi &amp; Pengajuan CR</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Review Awal CR (completeness check)</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Menjadwalkan CR ke CAB Meeting</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Review Dampak Teknis</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7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Review Risiko Keamanan Informasi</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7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Review Risiko Bisnis &amp; Kepatuhan</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Pengambilan Keputusan CAB (Normal Change)</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7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8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7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Pengambilan Keputusan ECAB (Emergency)</w:t>
            </w:r>
          </w:p>
        </w:tc>
        <w:tc>
          <w:tcPr>
            <w:tcW w:type="dxa" w:w="6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Approval Final — High Impact / Tier 1</w:t>
            </w:r>
          </w:p>
        </w:tc>
        <w:tc>
          <w:tcPr>
            <w:tcW w:type="dxa" w:w="6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Memperbarui Change Calendar</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Dokumentasi Minutes of CAB</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Komunikasi Keputusan ke Pemohon</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Deklarasi Freeze Period</w:t>
            </w:r>
          </w:p>
        </w:tc>
        <w:tc>
          <w:tcPr>
            <w:tcW w:type="dxa" w:w="6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w:t>
            </w:r>
          </w:p>
        </w:tc>
        <w:tc>
          <w:tcPr>
            <w:tcW w:type="dxa" w:w="7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8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Post-Implementation Review (PIR)</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8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A/R</w:t>
            </w:r>
          </w:p>
        </w:tc>
        <w:tc>
          <w:tcPr>
            <w:tcW w:type="dxa" w:w="7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7"/>
                <w:szCs w:val="17"/>
              </w:rPr>
              <w:t xml:space="preserve">Monthly Change Review Metrics</w:t>
            </w:r>
          </w:p>
        </w:tc>
        <w:tc>
          <w:tcPr>
            <w:tcW w:type="dxa" w:w="62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7"/>
                <w:szCs w:val="17"/>
              </w:rPr>
              <w:t xml:space="preserve">A</w:t>
            </w:r>
          </w:p>
        </w:tc>
        <w:tc>
          <w:tcPr>
            <w:tcW w:type="dxa" w:w="7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8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7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375623"/>
                <w:sz w:val="17"/>
                <w:szCs w:val="17"/>
              </w:rPr>
              <w:t xml:space="preserve">R</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C</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888888"/>
                <w:sz w:val="17"/>
                <w:szCs w:val="17"/>
              </w:rPr>
              <w:t xml:space="preserve">I</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1600"/>
        <w:gridCol w:w="1200"/>
        <w:gridCol w:w="1600"/>
        <w:gridCol w:w="1200"/>
        <w:gridCol w:w="900"/>
      </w:tblGrid>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center"/>
            </w:pPr>
            <w:r>
              <w:rPr>
                <w:rFonts w:ascii="Arial" w:cs="Arial" w:eastAsia="Arial" w:hAnsi="Arial"/>
                <w:b/>
                <w:bCs/>
                <w:color w:val="375623"/>
                <w:sz w:val="19"/>
                <w:szCs w:val="19"/>
              </w:rPr>
              <w:t xml:space="preserv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Responsible — pelaksana</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spacing w:after="30" w:before="30"/>
              <w:jc w:val="center"/>
            </w:pPr>
            <w:r>
              <w:rPr>
                <w:rFonts w:ascii="Arial" w:cs="Arial" w:eastAsia="Arial" w:hAnsi="Arial"/>
                <w:b/>
                <w:bCs/>
                <w:color w:val="7B4F00"/>
                <w:sz w:val="19"/>
                <w:szCs w:val="19"/>
              </w:rPr>
              <w:t xml:space="preserve">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Accountable — penanggung jawab</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center"/>
            </w:pPr>
            <w:r>
              <w:rPr>
                <w:rFonts w:ascii="Arial" w:cs="Arial" w:eastAsia="Arial" w:hAnsi="Arial"/>
                <w:b/>
                <w:bCs/>
                <w:color w:val="1F4E79"/>
                <w:sz w:val="19"/>
                <w:szCs w:val="19"/>
              </w:rPr>
              <w:t xml:space="preserv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Consulted — dimintai pendapat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center"/>
            </w:pPr>
            <w:r>
              <w:rPr>
                <w:rFonts w:ascii="Arial" w:cs="Arial" w:eastAsia="Arial" w:hAnsi="Arial"/>
                <w:b/>
                <w:bCs/>
                <w:color w:val="000000"/>
                <w:sz w:val="19"/>
                <w:szCs w:val="19"/>
              </w:rPr>
              <w:t xml:space="preserve">I</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Informed — diberitahu</w:t>
            </w:r>
          </w:p>
        </w:tc>
      </w:tr>
    </w:tbl>
    <w:p>
      <w:r>
        <w:rPr>
          <w:sz w:val="22"/>
          <w:szCs w:val="22"/>
        </w:rPr>
        <w:t xml:space="preserve"/>
      </w:r>
    </w:p>
    <w:p>
      <w:pPr>
        <w:pStyle w:val="Heading2"/>
        <w:spacing w:after="100" w:before="180"/>
      </w:pPr>
      <w:r>
        <w:rPr>
          <w:rFonts w:ascii="Arial" w:cs="Arial" w:eastAsia="Arial" w:hAnsi="Arial"/>
          <w:b/>
          <w:bCs/>
          <w:color w:val="2E75B6"/>
          <w:sz w:val="23"/>
          <w:szCs w:val="23"/>
        </w:rPr>
        <w:t xml:space="preserve">Pasal 6 — Mekanisme Rapat CAB</w:t>
      </w:r>
    </w:p>
    <w:p>
      <w:pPr>
        <w:spacing w:after="100" w:before="100"/>
        <w:jc w:val="left"/>
      </w:pPr>
      <w:r>
        <w:rPr>
          <w:rFonts w:ascii="Arial" w:cs="Arial" w:eastAsia="Arial" w:hAnsi="Arial"/>
          <w:b w:val="false"/>
          <w:bCs w:val="false"/>
          <w:i w:val="false"/>
          <w:iCs w:val="false"/>
          <w:color w:val="000000"/>
          <w:sz w:val="22"/>
          <w:szCs w:val="22"/>
        </w:rPr>
        <w:t xml:space="preserve">(1) Rapat CAB Rutin diselenggarakan dengan ketentuan:</w:t>
      </w:r>
    </w:p>
    <w:p>
      <w:pPr>
        <w:pStyle w:val="ListParagraph"/>
        <w:numPr>
          <w:ilvl w:val="0"/>
          <w:numId w:val="3"/>
        </w:numPr>
        <w:spacing w:after="40" w:before="40"/>
      </w:pPr>
      <w:r>
        <w:rPr>
          <w:rFonts w:ascii="Arial" w:cs="Arial" w:eastAsia="Arial" w:hAnsi="Arial"/>
          <w:sz w:val="22"/>
          <w:szCs w:val="22"/>
        </w:rPr>
        <w:t xml:space="preserve">Jadwal: Setiap hari Kamis, pukul 10:00–11:30 WIB, atau hari lain yang disepakati oleh Ketua CAB.</w:t>
      </w:r>
    </w:p>
    <w:p>
      <w:pPr>
        <w:pStyle w:val="ListParagraph"/>
        <w:numPr>
          <w:ilvl w:val="0"/>
          <w:numId w:val="3"/>
        </w:numPr>
        <w:spacing w:after="40" w:before="40"/>
      </w:pPr>
      <w:r>
        <w:rPr>
          <w:rFonts w:ascii="Arial" w:cs="Arial" w:eastAsia="Arial" w:hAnsi="Arial"/>
          <w:sz w:val="22"/>
          <w:szCs w:val="22"/>
        </w:rPr>
        <w:t xml:space="preserve">Agenda: Disiapkan oleh Sekretaris CAB dan didistribusikan kepada anggota minimal 2 (dua) hari kerja sebelum rapat.</w:t>
      </w:r>
    </w:p>
    <w:p>
      <w:pPr>
        <w:pStyle w:val="ListParagraph"/>
        <w:numPr>
          <w:ilvl w:val="0"/>
          <w:numId w:val="3"/>
        </w:numPr>
        <w:spacing w:after="40" w:before="40"/>
      </w:pPr>
      <w:r>
        <w:rPr>
          <w:rFonts w:ascii="Arial" w:cs="Arial" w:eastAsia="Arial" w:hAnsi="Arial"/>
          <w:sz w:val="22"/>
          <w:szCs w:val="22"/>
        </w:rPr>
        <w:t xml:space="preserve">Quorum: Rapat sah apabila dihadiri minimal 4 (empat) anggota tetap, termasuk Ketua CAB atau Wakil Ketua.</w:t>
      </w:r>
    </w:p>
    <w:p>
      <w:pPr>
        <w:pStyle w:val="ListParagraph"/>
        <w:numPr>
          <w:ilvl w:val="0"/>
          <w:numId w:val="3"/>
        </w:numPr>
        <w:spacing w:after="40" w:before="40"/>
      </w:pPr>
      <w:r>
        <w:rPr>
          <w:rFonts w:ascii="Arial" w:cs="Arial" w:eastAsia="Arial" w:hAnsi="Arial"/>
          <w:sz w:val="22"/>
          <w:szCs w:val="22"/>
        </w:rPr>
        <w:t xml:space="preserve">Pengambilan keputusan: Berdasarkan konsensus. Jika tidak tercapai, keputusan diambil oleh Ketua CAB.</w:t>
      </w:r>
    </w:p>
    <w:p>
      <w:pPr>
        <w:pStyle w:val="ListParagraph"/>
        <w:numPr>
          <w:ilvl w:val="0"/>
          <w:numId w:val="3"/>
        </w:numPr>
        <w:spacing w:after="40" w:before="40"/>
      </w:pPr>
      <w:r>
        <w:rPr>
          <w:rFonts w:ascii="Arial" w:cs="Arial" w:eastAsia="Arial" w:hAnsi="Arial"/>
          <w:sz w:val="22"/>
          <w:szCs w:val="22"/>
        </w:rPr>
        <w:t xml:space="preserve">Format rapat: Dapat dilaksanakan secara tatap muka, video conference, atau hybrid.</w:t>
      </w:r>
    </w:p>
    <w:p>
      <w:r>
        <w:rPr>
          <w:sz w:val="22"/>
          <w:szCs w:val="22"/>
        </w:rPr>
        <w:t xml:space="preserve"/>
      </w:r>
    </w:p>
    <w:p>
      <w:pPr>
        <w:spacing w:after="100" w:before="100"/>
        <w:jc w:val="left"/>
      </w:pPr>
      <w:r>
        <w:rPr>
          <w:rFonts w:ascii="Arial" w:cs="Arial" w:eastAsia="Arial" w:hAnsi="Arial"/>
          <w:b w:val="false"/>
          <w:bCs w:val="false"/>
          <w:i w:val="false"/>
          <w:iCs w:val="false"/>
          <w:color w:val="000000"/>
          <w:sz w:val="22"/>
          <w:szCs w:val="22"/>
        </w:rPr>
        <w:t xml:space="preserve">(2) Emergency CAB (ECAB) diselenggarakan dengan ketentuan:</w:t>
      </w:r>
    </w:p>
    <w:p>
      <w:pPr>
        <w:pStyle w:val="ListParagraph"/>
        <w:numPr>
          <w:ilvl w:val="0"/>
          <w:numId w:val="3"/>
        </w:numPr>
        <w:spacing w:after="40" w:before="40"/>
      </w:pPr>
      <w:r>
        <w:rPr>
          <w:rFonts w:ascii="Arial" w:cs="Arial" w:eastAsia="Arial" w:hAnsi="Arial"/>
          <w:sz w:val="22"/>
          <w:szCs w:val="22"/>
        </w:rPr>
        <w:t xml:space="preserve">ECAB dipanggil oleh Change Manager apabila terjadi Emergency Change yang tidak dapat menunggu rapat rutin.</w:t>
      </w:r>
    </w:p>
    <w:p>
      <w:pPr>
        <w:pStyle w:val="ListParagraph"/>
        <w:numPr>
          <w:ilvl w:val="0"/>
          <w:numId w:val="3"/>
        </w:numPr>
        <w:spacing w:after="40" w:before="40"/>
      </w:pPr>
      <w:r>
        <w:rPr>
          <w:rFonts w:ascii="Arial" w:cs="Arial" w:eastAsia="Arial" w:hAnsi="Arial"/>
          <w:sz w:val="22"/>
          <w:szCs w:val="22"/>
        </w:rPr>
        <w:t xml:space="preserve">ECAB dapat dilaksanakan melalui WA Group CAB atau video conference singkat (minimal 30 menit notifikasi).</w:t>
      </w:r>
    </w:p>
    <w:p>
      <w:pPr>
        <w:pStyle w:val="ListParagraph"/>
        <w:numPr>
          <w:ilvl w:val="0"/>
          <w:numId w:val="3"/>
        </w:numPr>
        <w:spacing w:after="40" w:before="40"/>
      </w:pPr>
      <w:r>
        <w:rPr>
          <w:rFonts w:ascii="Arial" w:cs="Arial" w:eastAsia="Arial" w:hAnsi="Arial"/>
          <w:sz w:val="22"/>
          <w:szCs w:val="22"/>
        </w:rPr>
        <w:t xml:space="preserve">Quorum ECAB: Minimal 2 (dua) approver senior, yang dapat terdiri dari CTIO dan Change Manager, atau kombinasi lain dari anggota tetap CAB.</w:t>
      </w:r>
    </w:p>
    <w:p>
      <w:pPr>
        <w:pStyle w:val="ListParagraph"/>
        <w:numPr>
          <w:ilvl w:val="0"/>
          <w:numId w:val="3"/>
        </w:numPr>
        <w:spacing w:after="40" w:before="40"/>
      </w:pPr>
      <w:r>
        <w:rPr>
          <w:rFonts w:ascii="Arial" w:cs="Arial" w:eastAsia="Arial" w:hAnsi="Arial"/>
          <w:sz w:val="22"/>
          <w:szCs w:val="22"/>
        </w:rPr>
        <w:t xml:space="preserve">Keputusan ECAB dapat diambil melalui pesan tertulis di WA Group dengan minimal 2 persetujuan dari approver senior berwenang.</w:t>
      </w:r>
    </w:p>
    <w:p>
      <w:pPr>
        <w:pStyle w:val="ListParagraph"/>
        <w:numPr>
          <w:ilvl w:val="0"/>
          <w:numId w:val="3"/>
        </w:numPr>
        <w:spacing w:after="40" w:before="40"/>
      </w:pPr>
      <w:r>
        <w:rPr>
          <w:rFonts w:ascii="Arial" w:cs="Arial" w:eastAsia="Arial" w:hAnsi="Arial"/>
          <w:sz w:val="22"/>
          <w:szCs w:val="22"/>
        </w:rPr>
        <w:t xml:space="preserve">Seluruh keputusan ECAB wajib didokumentasikan oleh Change Manager paling lambat 2 jam setelah keputusan diambil.</w:t>
      </w:r>
    </w:p>
    <w:p>
      <w:r>
        <w:rPr>
          <w:sz w:val="22"/>
          <w:szCs w:val="22"/>
        </w:rPr>
        <w:t xml:space="preserve"/>
      </w:r>
    </w:p>
    <w:p>
      <w:pPr>
        <w:pStyle w:val="Heading2"/>
        <w:spacing w:after="100" w:before="180"/>
      </w:pPr>
      <w:r>
        <w:rPr>
          <w:rFonts w:ascii="Arial" w:cs="Arial" w:eastAsia="Arial" w:hAnsi="Arial"/>
          <w:b/>
          <w:bCs/>
          <w:color w:val="2E75B6"/>
          <w:sz w:val="23"/>
          <w:szCs w:val="23"/>
        </w:rPr>
        <w:t xml:space="preserve">Pasal 7 — Jenis Change dan Kewenangan Persetujuan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160"/>
        <w:gridCol w:w="2800"/>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Change</w:t>
            </w:r>
          </w:p>
        </w:tc>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Kriteria</w:t>
            </w:r>
          </w:p>
        </w:tc>
        <w:tc>
          <w:tcPr>
            <w:tcW w:type="dxa" w:w="2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Proses Persetujuan</w:t>
            </w:r>
          </w:p>
        </w:tc>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Pihak yang Menyetujui</w:t>
            </w:r>
          </w:p>
        </w:tc>
      </w:tr>
      <w:tr>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left"/>
            </w:pPr>
            <w:r>
              <w:rPr>
                <w:rFonts w:ascii="Arial" w:cs="Arial" w:eastAsia="Arial" w:hAnsi="Arial"/>
                <w:b/>
                <w:bCs/>
                <w:color w:val="375623"/>
                <w:sz w:val="19"/>
                <w:szCs w:val="19"/>
              </w:rPr>
              <w:t xml:space="preserve">Standard Change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Rutin, risiko rendah, prosedur baku sudah ada dan teruji</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Tanpa CAB — approval langsung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Manager IT unit terkait</w:t>
            </w:r>
          </w:p>
          <w:p>
            <w:pPr>
              <w:spacing w:after="30" w:before="30"/>
              <w:jc w:val="left"/>
            </w:pPr>
            <w:r>
              <w:rPr>
                <w:rFonts w:ascii="Arial" w:cs="Arial" w:eastAsia="Arial" w:hAnsi="Arial"/>
                <w:b w:val="false"/>
                <w:bCs w:val="false"/>
                <w:color w:val="000000"/>
                <w:sz w:val="19"/>
                <w:szCs w:val="19"/>
              </w:rPr>
              <w:t xml:space="preserve">(tanpa perlu melalui CAB)</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1F4E79"/>
                <w:sz w:val="19"/>
                <w:szCs w:val="19"/>
              </w:rPr>
              <w:t xml:space="preserve">Normal Change</w:t>
            </w:r>
          </w:p>
          <w:p>
            <w:pPr>
              <w:spacing w:after="30" w:before="30"/>
              <w:jc w:val="left"/>
            </w:pPr>
            <w:r>
              <w:rPr>
                <w:rFonts w:ascii="Arial" w:cs="Arial" w:eastAsia="Arial" w:hAnsi="Arial"/>
                <w:b/>
                <w:bCs/>
                <w:color w:val="1F4E79"/>
                <w:sz w:val="19"/>
                <w:szCs w:val="19"/>
              </w:rPr>
              <w:t xml:space="preserve">— Medium Impact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Baru / tidak rutin, berdampak pada 1–2 sistem atau departemen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CAB Meeting rutin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CAB (quorum 4 anggota)</w:t>
            </w:r>
          </w:p>
          <w:p>
            <w:pPr>
              <w:spacing w:after="30" w:before="30"/>
              <w:jc w:val="left"/>
            </w:pPr>
            <w:r>
              <w:rPr>
                <w:rFonts w:ascii="Arial" w:cs="Arial" w:eastAsia="Arial" w:hAnsi="Arial"/>
                <w:b w:val="false"/>
                <w:bCs w:val="false"/>
                <w:color w:val="000000"/>
                <w:sz w:val="19"/>
                <w:szCs w:val="19"/>
              </w:rPr>
              <w:t xml:space="preserve">+ Ketua CAB</w:t>
            </w:r>
          </w:p>
        </w:tc>
      </w:tr>
      <w:tr>
        <w:tc>
          <w:tcPr>
            <w:tcW w:type="dxa" w:w="1800"/>
            <w:tcBorders>
              <w:top w:val="single" w:color="CCCCCC" w:sz="4"/>
              <w:left w:val="single" w:color="CCCCCC" w:sz="4"/>
              <w:bottom w:val="single" w:color="CCCCCC" w:sz="4"/>
              <w:right w:val="single" w:color="CCCCCC" w:sz="4"/>
            </w:tcBorders>
            <w:shd w:fill="D6DCE4" w:val="clear"/>
            <w:tcMar>
              <w:top w:type="dxa" w:w="80"/>
              <w:left w:type="dxa" w:w="120"/>
              <w:bottom w:type="dxa" w:w="80"/>
              <w:right w:type="dxa" w:w="120"/>
            </w:tcMar>
            <w:vAlign w:val="top"/>
          </w:tcPr>
          <w:p>
            <w:pPr>
              <w:spacing w:after="30" w:before="30"/>
              <w:jc w:val="left"/>
            </w:pPr>
            <w:r>
              <w:rPr>
                <w:rFonts w:ascii="Arial" w:cs="Arial" w:eastAsia="Arial" w:hAnsi="Arial"/>
                <w:b/>
                <w:bCs/>
                <w:color w:val="1F4E79"/>
                <w:sz w:val="19"/>
                <w:szCs w:val="19"/>
              </w:rPr>
              <w:t xml:space="preserve">Normal Change</w:t>
            </w:r>
          </w:p>
          <w:p>
            <w:pPr>
              <w:spacing w:after="30" w:before="30"/>
              <w:jc w:val="left"/>
            </w:pPr>
            <w:r>
              <w:rPr>
                <w:rFonts w:ascii="Arial" w:cs="Arial" w:eastAsia="Arial" w:hAnsi="Arial"/>
                <w:b/>
                <w:bCs/>
                <w:color w:val="1F4E79"/>
                <w:sz w:val="19"/>
                <w:szCs w:val="19"/>
              </w:rPr>
              <w:t xml:space="preserve">— High Impact</w:t>
            </w:r>
          </w:p>
          <w:p>
            <w:pPr>
              <w:spacing w:after="30" w:before="30"/>
              <w:jc w:val="left"/>
            </w:pPr>
            <w:r>
              <w:rPr>
                <w:rFonts w:ascii="Arial" w:cs="Arial" w:eastAsia="Arial" w:hAnsi="Arial"/>
                <w:b/>
                <w:bCs/>
                <w:color w:val="1F4E79"/>
                <w:sz w:val="19"/>
                <w:szCs w:val="19"/>
              </w:rPr>
              <w:t xml:space="preserve">(Tier 1 / Multi-Directorate)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Berdampak besar lintas direktorat, menyangkut core system atau data nasabah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CAB Meeting + Approval CTIO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CAB + CTIO</w:t>
            </w:r>
          </w:p>
          <w:p>
            <w:pPr>
              <w:spacing w:after="30" w:before="30"/>
              <w:jc w:val="left"/>
            </w:pPr>
            <w:r>
              <w:rPr>
                <w:rFonts w:ascii="Arial" w:cs="Arial" w:eastAsia="Arial" w:hAnsi="Arial"/>
                <w:b w:val="false"/>
                <w:bCs w:val="false"/>
                <w:color w:val="000000"/>
                <w:sz w:val="19"/>
                <w:szCs w:val="19"/>
              </w:rPr>
              <w:t xml:space="preserve">(wajib hadir / approval tertulis)</w:t>
            </w:r>
          </w:p>
        </w:tc>
      </w:tr>
      <w:tr>
        <w:tc>
          <w:tcPr>
            <w:tcW w:type="dxa" w:w="1800"/>
            <w:tcBorders>
              <w:top w:val="single" w:color="CCCCCC" w:sz="4"/>
              <w:left w:val="single" w:color="CCCCCC" w:sz="4"/>
              <w:bottom w:val="single" w:color="CCCCCC" w:sz="4"/>
              <w:right w:val="single" w:color="CCCCCC" w:sz="4"/>
            </w:tcBorders>
            <w:shd w:fill="FFCCCC" w:val="clear"/>
            <w:tcMar>
              <w:top w:type="dxa" w:w="80"/>
              <w:left w:type="dxa" w:w="120"/>
              <w:bottom w:type="dxa" w:w="80"/>
              <w:right w:type="dxa" w:w="120"/>
            </w:tcMar>
            <w:vAlign w:val="top"/>
          </w:tcPr>
          <w:p>
            <w:pPr>
              <w:spacing w:after="30" w:before="30"/>
              <w:jc w:val="left"/>
            </w:pPr>
            <w:r>
              <w:rPr>
                <w:rFonts w:ascii="Arial" w:cs="Arial" w:eastAsia="Arial" w:hAnsi="Arial"/>
                <w:b/>
                <w:bCs/>
                <w:color w:val="7B0000"/>
                <w:sz w:val="19"/>
                <w:szCs w:val="19"/>
              </w:rPr>
              <w:t xml:space="preserve">Emergency Change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Darurat — system kritis down, zero-day aktif, atau compliance mendesak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ECAB (dipercepat)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CTIO + Change Manager</w:t>
            </w:r>
          </w:p>
          <w:p>
            <w:pPr>
              <w:spacing w:after="30" w:before="30"/>
              <w:jc w:val="left"/>
            </w:pPr>
            <w:r>
              <w:rPr>
                <w:rFonts w:ascii="Arial" w:cs="Arial" w:eastAsia="Arial" w:hAnsi="Arial"/>
                <w:b w:val="false"/>
                <w:bCs w:val="false"/>
                <w:color w:val="000000"/>
                <w:sz w:val="19"/>
                <w:szCs w:val="19"/>
              </w:rPr>
              <w:t xml:space="preserve">(atau minimal 2 approver senior ECAB)</w:t>
            </w:r>
          </w:p>
        </w:tc>
      </w:tr>
    </w:tbl>
    <w:p>
      <w:r>
        <w:rPr>
          <w:sz w:val="22"/>
          <w:szCs w:val="22"/>
        </w:rPr>
        <w:t xml:space="preserve"/>
      </w:r>
    </w:p>
    <w:p>
      <w:pPr>
        <w:pStyle w:val="Heading2"/>
        <w:spacing w:after="100" w:before="180"/>
      </w:pPr>
      <w:r>
        <w:rPr>
          <w:rFonts w:ascii="Arial" w:cs="Arial" w:eastAsia="Arial" w:hAnsi="Arial"/>
          <w:b/>
          <w:bCs/>
          <w:color w:val="2E75B6"/>
          <w:sz w:val="23"/>
          <w:szCs w:val="23"/>
        </w:rPr>
        <w:t xml:space="preserve">Pasal 8 — Freeze Period</w:t>
      </w:r>
    </w:p>
    <w:p>
      <w:pPr>
        <w:spacing w:after="100" w:before="100"/>
        <w:jc w:val="left"/>
      </w:pPr>
      <w:r>
        <w:rPr>
          <w:rFonts w:ascii="Arial" w:cs="Arial" w:eastAsia="Arial" w:hAnsi="Arial"/>
          <w:b w:val="false"/>
          <w:bCs w:val="false"/>
          <w:i w:val="false"/>
          <w:iCs w:val="false"/>
          <w:color w:val="000000"/>
          <w:sz w:val="22"/>
          <w:szCs w:val="22"/>
        </w:rPr>
        <w:t xml:space="preserve">(1) Change Manager berwenang mengusulkan Freeze Period kepada Ketua CAB, yang kemudian ditetapkan oleh CTIO.</w:t>
      </w:r>
    </w:p>
    <w:p>
      <w:pPr>
        <w:spacing w:after="100" w:before="100"/>
        <w:jc w:val="left"/>
      </w:pPr>
      <w:r>
        <w:rPr>
          <w:rFonts w:ascii="Arial" w:cs="Arial" w:eastAsia="Arial" w:hAnsi="Arial"/>
          <w:b w:val="false"/>
          <w:bCs w:val="false"/>
          <w:i w:val="false"/>
          <w:iCs w:val="false"/>
          <w:color w:val="000000"/>
          <w:sz w:val="22"/>
          <w:szCs w:val="22"/>
        </w:rPr>
        <w:t xml:space="preserve">(2) Freeze Period berlaku pada:</w:t>
      </w:r>
    </w:p>
    <w:p>
      <w:pPr>
        <w:pStyle w:val="ListParagraph"/>
        <w:numPr>
          <w:ilvl w:val="0"/>
          <w:numId w:val="3"/>
        </w:numPr>
        <w:spacing w:after="40" w:before="40"/>
      </w:pPr>
      <w:r>
        <w:rPr>
          <w:rFonts w:ascii="Arial" w:cs="Arial" w:eastAsia="Arial" w:hAnsi="Arial"/>
          <w:sz w:val="22"/>
          <w:szCs w:val="22"/>
        </w:rPr>
        <w:t xml:space="preserve">Periode tutup buku akhir tahun (1–15 Januari).</w:t>
      </w:r>
    </w:p>
    <w:p>
      <w:pPr>
        <w:pStyle w:val="ListParagraph"/>
        <w:numPr>
          <w:ilvl w:val="0"/>
          <w:numId w:val="3"/>
        </w:numPr>
        <w:spacing w:after="40" w:before="40"/>
      </w:pPr>
      <w:r>
        <w:rPr>
          <w:rFonts w:ascii="Arial" w:cs="Arial" w:eastAsia="Arial" w:hAnsi="Arial"/>
          <w:sz w:val="22"/>
          <w:szCs w:val="22"/>
        </w:rPr>
        <w:t xml:space="preserve">Periode End-of-Day (EOD) kritis yang ditetapkan oleh Business Directorate.</w:t>
      </w:r>
    </w:p>
    <w:p>
      <w:pPr>
        <w:pStyle w:val="ListParagraph"/>
        <w:numPr>
          <w:ilvl w:val="0"/>
          <w:numId w:val="3"/>
        </w:numPr>
        <w:spacing w:after="40" w:before="40"/>
      </w:pPr>
      <w:r>
        <w:rPr>
          <w:rFonts w:ascii="Arial" w:cs="Arial" w:eastAsia="Arial" w:hAnsi="Arial"/>
          <w:sz w:val="22"/>
          <w:szCs w:val="22"/>
        </w:rPr>
        <w:t xml:space="preserve">Periode pemeriksaan audit OJK atau audit ISO 27001.</w:t>
      </w:r>
    </w:p>
    <w:p>
      <w:pPr>
        <w:pStyle w:val="ListParagraph"/>
        <w:numPr>
          <w:ilvl w:val="0"/>
          <w:numId w:val="3"/>
        </w:numPr>
        <w:spacing w:after="40" w:before="40"/>
      </w:pPr>
      <w:r>
        <w:rPr>
          <w:rFonts w:ascii="Arial" w:cs="Arial" w:eastAsia="Arial" w:hAnsi="Arial"/>
          <w:sz w:val="22"/>
          <w:szCs w:val="22"/>
        </w:rPr>
        <w:t xml:space="preserve">Periode lain yang ditetapkan oleh CTIO atau Direksi.</w:t>
      </w:r>
    </w:p>
    <w:p>
      <w:pPr>
        <w:spacing w:after="100" w:before="100"/>
        <w:jc w:val="left"/>
      </w:pPr>
      <w:r>
        <w:rPr>
          <w:rFonts w:ascii="Arial" w:cs="Arial" w:eastAsia="Arial" w:hAnsi="Arial"/>
          <w:b w:val="false"/>
          <w:bCs w:val="false"/>
          <w:i w:val="false"/>
          <w:iCs w:val="false"/>
          <w:color w:val="000000"/>
          <w:sz w:val="22"/>
          <w:szCs w:val="22"/>
        </w:rPr>
        <w:t xml:space="preserve">(3) Selama Freeze Period, hanya Emergency Change yang dapat diimplementasikan atas persetujuan CTIO.</w:t>
      </w:r>
    </w:p>
    <w:p>
      <w:pPr>
        <w:spacing w:after="100" w:before="100"/>
        <w:jc w:val="left"/>
      </w:pPr>
      <w:r>
        <w:rPr>
          <w:rFonts w:ascii="Arial" w:cs="Arial" w:eastAsia="Arial" w:hAnsi="Arial"/>
          <w:b w:val="false"/>
          <w:bCs w:val="false"/>
          <w:i w:val="false"/>
          <w:iCs w:val="false"/>
          <w:color w:val="000000"/>
          <w:sz w:val="22"/>
          <w:szCs w:val="22"/>
        </w:rPr>
        <w:t xml:space="preserve">(4) Pengumuman Freeze Period dilakukan paling lambat 5 (lima) hari kerja sebelum tanggal berlaku.</w:t>
      </w:r>
    </w:p>
    <w:p>
      <w:r>
        <w:rPr>
          <w:sz w:val="22"/>
          <w:szCs w:val="22"/>
        </w:rPr>
        <w:t xml:space="preserve"/>
      </w:r>
    </w:p>
    <w:p>
      <w:pPr>
        <w:pStyle w:val="Heading2"/>
        <w:spacing w:after="100" w:before="180"/>
      </w:pPr>
      <w:r>
        <w:rPr>
          <w:rFonts w:ascii="Arial" w:cs="Arial" w:eastAsia="Arial" w:hAnsi="Arial"/>
          <w:b/>
          <w:bCs/>
          <w:color w:val="2E75B6"/>
          <w:sz w:val="23"/>
          <w:szCs w:val="23"/>
        </w:rPr>
        <w:t xml:space="preserve">Pasal 9 — Pelaporan dan Dokumentasi</w:t>
      </w:r>
    </w:p>
    <w:p>
      <w:pPr>
        <w:spacing w:after="100" w:before="100"/>
        <w:jc w:val="left"/>
      </w:pPr>
      <w:r>
        <w:rPr>
          <w:rFonts w:ascii="Arial" w:cs="Arial" w:eastAsia="Arial" w:hAnsi="Arial"/>
          <w:b w:val="false"/>
          <w:bCs w:val="false"/>
          <w:i w:val="false"/>
          <w:iCs w:val="false"/>
          <w:color w:val="000000"/>
          <w:sz w:val="22"/>
          <w:szCs w:val="22"/>
        </w:rPr>
        <w:t xml:space="preserve">(1) Sekretaris CAB wajib mendistribusikan Minutes of CAB Meeting kepada seluruh anggota dan CTIO paling lambat 1 (satu) hari kerja setelah rapat.</w:t>
      </w:r>
    </w:p>
    <w:p>
      <w:pPr>
        <w:spacing w:after="100" w:before="100"/>
        <w:jc w:val="left"/>
      </w:pPr>
      <w:r>
        <w:rPr>
          <w:rFonts w:ascii="Arial" w:cs="Arial" w:eastAsia="Arial" w:hAnsi="Arial"/>
          <w:b w:val="false"/>
          <w:bCs w:val="false"/>
          <w:i w:val="false"/>
          <w:iCs w:val="false"/>
          <w:color w:val="000000"/>
          <w:sz w:val="22"/>
          <w:szCs w:val="22"/>
        </w:rPr>
        <w:t xml:space="preserve">(2) Ketua CAB menyampaikan laporan bulanan Change Management kepada CTIO, meliputi:</w:t>
      </w:r>
    </w:p>
    <w:p>
      <w:pPr>
        <w:pStyle w:val="ListParagraph"/>
        <w:numPr>
          <w:ilvl w:val="0"/>
          <w:numId w:val="3"/>
        </w:numPr>
        <w:spacing w:after="40" w:before="40"/>
      </w:pPr>
      <w:r>
        <w:rPr>
          <w:rFonts w:ascii="Arial" w:cs="Arial" w:eastAsia="Arial" w:hAnsi="Arial"/>
          <w:sz w:val="22"/>
          <w:szCs w:val="22"/>
        </w:rPr>
        <w:t xml:space="preserve">Statistik CR: volume, jenis, success rate, rollback rate, Emergency Change rate.</w:t>
      </w:r>
    </w:p>
    <w:p>
      <w:pPr>
        <w:pStyle w:val="ListParagraph"/>
        <w:numPr>
          <w:ilvl w:val="0"/>
          <w:numId w:val="3"/>
        </w:numPr>
        <w:spacing w:after="40" w:before="40"/>
      </w:pPr>
      <w:r>
        <w:rPr>
          <w:rFonts w:ascii="Arial" w:cs="Arial" w:eastAsia="Arial" w:hAnsi="Arial"/>
          <w:sz w:val="22"/>
          <w:szCs w:val="22"/>
        </w:rPr>
        <w:t xml:space="preserve">Status CR yang sedang berjalan.</w:t>
      </w:r>
    </w:p>
    <w:p>
      <w:pPr>
        <w:pStyle w:val="ListParagraph"/>
        <w:numPr>
          <w:ilvl w:val="0"/>
          <w:numId w:val="3"/>
        </w:numPr>
        <w:spacing w:after="40" w:before="40"/>
      </w:pPr>
      <w:r>
        <w:rPr>
          <w:rFonts w:ascii="Arial" w:cs="Arial" w:eastAsia="Arial" w:hAnsi="Arial"/>
          <w:sz w:val="22"/>
          <w:szCs w:val="22"/>
        </w:rPr>
        <w:t xml:space="preserve">Metrik SLA kepatuhan dan CSAT Score.</w:t>
      </w:r>
    </w:p>
    <w:p>
      <w:pPr>
        <w:pStyle w:val="ListParagraph"/>
        <w:numPr>
          <w:ilvl w:val="0"/>
          <w:numId w:val="3"/>
        </w:numPr>
        <w:spacing w:after="40" w:before="40"/>
      </w:pPr>
      <w:r>
        <w:rPr>
          <w:rFonts w:ascii="Arial" w:cs="Arial" w:eastAsia="Arial" w:hAnsi="Arial"/>
          <w:sz w:val="22"/>
          <w:szCs w:val="22"/>
        </w:rPr>
        <w:t xml:space="preserve">Rekomendasi perbaikan proses.</w:t>
      </w:r>
    </w:p>
    <w:p>
      <w:pPr>
        <w:spacing w:after="100" w:before="100"/>
        <w:jc w:val="left"/>
      </w:pPr>
      <w:r>
        <w:rPr>
          <w:rFonts w:ascii="Arial" w:cs="Arial" w:eastAsia="Arial" w:hAnsi="Arial"/>
          <w:b w:val="false"/>
          <w:bCs w:val="false"/>
          <w:i w:val="false"/>
          <w:iCs w:val="false"/>
          <w:color w:val="000000"/>
          <w:sz w:val="22"/>
          <w:szCs w:val="22"/>
        </w:rPr>
        <w:t xml:space="preserve">(3) Seluruh dokumen CAB (Minutes, Change Calendar, approval records) disimpan minimal 5 (lima) tahun dan dapat diakses untuk keperluan audit.</w:t>
      </w:r>
    </w:p>
    <w:p>
      <w:r>
        <w:rPr>
          <w:sz w:val="22"/>
          <w:szCs w:val="22"/>
        </w:rPr>
        <w:t xml:space="preserve"/>
      </w:r>
    </w:p>
    <w:p>
      <w:pPr>
        <w:pStyle w:val="Heading2"/>
        <w:spacing w:after="100" w:before="180"/>
      </w:pPr>
      <w:r>
        <w:rPr>
          <w:rFonts w:ascii="Arial" w:cs="Arial" w:eastAsia="Arial" w:hAnsi="Arial"/>
          <w:b/>
          <w:bCs/>
          <w:color w:val="2E75B6"/>
          <w:sz w:val="23"/>
          <w:szCs w:val="23"/>
        </w:rPr>
        <w:t xml:space="preserve">Pasal 10 — Ketentuan Peralihan</w:t>
      </w:r>
    </w:p>
    <w:p>
      <w:pPr>
        <w:spacing w:after="100" w:before="100"/>
        <w:jc w:val="left"/>
      </w:pPr>
      <w:r>
        <w:rPr>
          <w:rFonts w:ascii="Arial" w:cs="Arial" w:eastAsia="Arial" w:hAnsi="Arial"/>
          <w:b w:val="false"/>
          <w:bCs w:val="false"/>
          <w:i w:val="false"/>
          <w:iCs w:val="false"/>
          <w:color w:val="000000"/>
          <w:sz w:val="22"/>
          <w:szCs w:val="22"/>
        </w:rPr>
        <w:t xml:space="preserve">(1) Seluruh Change Request yang sedang dalam proses pada saat SK ini ditetapkan wajib menyesuaikan dengan ketentuan dalam SK ini paling lambat 30 (tiga puluh) hari kalender.</w:t>
      </w:r>
    </w:p>
    <w:p>
      <w:pPr>
        <w:spacing w:after="100" w:before="100"/>
        <w:jc w:val="left"/>
      </w:pPr>
      <w:r>
        <w:rPr>
          <w:rFonts w:ascii="Arial" w:cs="Arial" w:eastAsia="Arial" w:hAnsi="Arial"/>
          <w:b w:val="false"/>
          <w:bCs w:val="false"/>
          <w:i w:val="false"/>
          <w:iCs w:val="false"/>
          <w:color w:val="000000"/>
          <w:sz w:val="22"/>
          <w:szCs w:val="22"/>
        </w:rPr>
        <w:t xml:space="preserve">(2) Change Manager segera menetapkan daftar Standard Change yang dapat dikerjakan tanpa melalui CAB, dan menyampaikannya kepada CTIO untuk disahkan paling lambat 14 (empat belas) hari setelah SK ini berlaku.</w:t>
      </w:r>
    </w:p>
    <w:p>
      <w:r>
        <w:rPr>
          <w:sz w:val="22"/>
          <w:szCs w:val="22"/>
        </w:rPr>
        <w:t xml:space="preserve"/>
      </w:r>
    </w:p>
    <w:p>
      <w:pPr>
        <w:pStyle w:val="Heading2"/>
        <w:spacing w:after="100" w:before="180"/>
      </w:pPr>
      <w:r>
        <w:rPr>
          <w:rFonts w:ascii="Arial" w:cs="Arial" w:eastAsia="Arial" w:hAnsi="Arial"/>
          <w:b/>
          <w:bCs/>
          <w:color w:val="2E75B6"/>
          <w:sz w:val="23"/>
          <w:szCs w:val="23"/>
        </w:rPr>
        <w:t xml:space="preserve">Pasal 11 — Ketentuan Penutup</w:t>
      </w:r>
    </w:p>
    <w:p>
      <w:pPr>
        <w:spacing w:after="100" w:before="100"/>
        <w:jc w:val="left"/>
      </w:pPr>
      <w:r>
        <w:rPr>
          <w:rFonts w:ascii="Arial" w:cs="Arial" w:eastAsia="Arial" w:hAnsi="Arial"/>
          <w:b w:val="false"/>
          <w:bCs w:val="false"/>
          <w:i w:val="false"/>
          <w:iCs w:val="false"/>
          <w:color w:val="000000"/>
          <w:sz w:val="22"/>
          <w:szCs w:val="22"/>
        </w:rPr>
        <w:t xml:space="preserve">(1) SK ini mulai berlaku sejak tanggal ditetapkan.</w:t>
      </w:r>
    </w:p>
    <w:p>
      <w:pPr>
        <w:spacing w:after="100" w:before="100"/>
        <w:jc w:val="left"/>
      </w:pPr>
      <w:r>
        <w:rPr>
          <w:rFonts w:ascii="Arial" w:cs="Arial" w:eastAsia="Arial" w:hAnsi="Arial"/>
          <w:b w:val="false"/>
          <w:bCs w:val="false"/>
          <w:i w:val="false"/>
          <w:iCs w:val="false"/>
          <w:color w:val="000000"/>
          <w:sz w:val="22"/>
          <w:szCs w:val="22"/>
        </w:rPr>
        <w:t xml:space="preserve">(2) Dengan berlakunya SK ini, seluruh ketentuan terkait Change Management yang bertentangan dengan SK ini dinyatakan tidak berlaku.</w:t>
      </w:r>
    </w:p>
    <w:p>
      <w:pPr>
        <w:spacing w:after="100" w:before="100"/>
        <w:jc w:val="left"/>
      </w:pPr>
      <w:r>
        <w:rPr>
          <w:rFonts w:ascii="Arial" w:cs="Arial" w:eastAsia="Arial" w:hAnsi="Arial"/>
          <w:b w:val="false"/>
          <w:bCs w:val="false"/>
          <w:i w:val="false"/>
          <w:iCs w:val="false"/>
          <w:color w:val="000000"/>
          <w:sz w:val="22"/>
          <w:szCs w:val="22"/>
        </w:rPr>
        <w:t xml:space="preserve">(3) Hal-hal yang belum diatur dalam SK ini akan ditetapkan lebih lanjut oleh CTIO.</w:t>
      </w:r>
    </w:p>
    <w:p>
      <w:r>
        <w:rPr>
          <w:sz w:val="22"/>
          <w:szCs w:val="22"/>
        </w:rPr>
        <w:t xml:space="preserve"/>
      </w:r>
    </w:p>
    <w:p>
      <w:r>
        <w:br w:type="page"/>
      </w:r>
    </w:p>
    <w:p>
      <w:pPr>
        <w:spacing w:after="100" w:before="200"/>
        <w:jc w:val="right"/>
      </w:pPr>
      <w:r>
        <w:rPr>
          <w:rFonts w:ascii="Arial" w:cs="Arial" w:eastAsia="Arial" w:hAnsi="Arial"/>
          <w:sz w:val="22"/>
          <w:szCs w:val="22"/>
        </w:rPr>
        <w:t xml:space="preserve">Jakarta, Maret 2026</w:t>
      </w:r>
    </w:p>
    <w:p>
      <w:r>
        <w:rPr>
          <w:sz w:val="22"/>
          <w:szCs w:val="22"/>
        </w:rPr>
        <w:t xml:space="preserve"/>
      </w:r>
    </w:p>
    <w:p>
      <w:pPr>
        <w:spacing w:after="60" w:before="100"/>
        <w:jc w:val="right"/>
      </w:pPr>
      <w:r>
        <w:rPr>
          <w:rFonts w:ascii="Arial" w:cs="Arial" w:eastAsia="Arial" w:hAnsi="Arial"/>
          <w:b/>
          <w:bCs/>
          <w:color w:val="1F4E79"/>
          <w:sz w:val="22"/>
          <w:szCs w:val="22"/>
        </w:rPr>
        <w:t xml:space="preserve">Chief Technology &amp; Information Officer</w:t>
      </w:r>
    </w:p>
    <w:p>
      <w:pPr>
        <w:spacing w:after="40" w:before="40"/>
        <w:jc w:val="right"/>
      </w:pPr>
      <w:r>
        <w:rPr>
          <w:rFonts w:ascii="Arial" w:cs="Arial" w:eastAsia="Arial" w:hAnsi="Arial"/>
          <w:color w:val="555555"/>
          <w:sz w:val="22"/>
          <w:szCs w:val="22"/>
        </w:rPr>
        <w:t xml:space="preserve">PT Equity Life Indonesia</w:t>
      </w:r>
    </w:p>
    <w:p>
      <w:r>
        <w:rPr>
          <w:sz w:val="22"/>
          <w:szCs w:val="22"/>
        </w:rPr>
        <w:t xml:space="preserve"/>
      </w:r>
    </w:p>
    <w:p>
      <w:r>
        <w:rPr>
          <w:sz w:val="22"/>
          <w:szCs w:val="22"/>
        </w:rPr>
        <w:t xml:space="preserve"/>
      </w:r>
    </w:p>
    <w:p>
      <w:r>
        <w:rPr>
          <w:sz w:val="22"/>
          <w:szCs w:val="22"/>
        </w:rPr>
        <w:t xml:space="preserve"/>
      </w:r>
    </w:p>
    <w:p>
      <w:pPr>
        <w:pBdr>
          <w:top w:val="single" w:color="2E75B6" w:sz="4" w:space="4"/>
        </w:pBdr>
        <w:spacing w:after="40" w:before="80"/>
        <w:jc w:val="right"/>
      </w:pPr>
      <w:r>
        <w:rPr>
          <w:rFonts w:ascii="Arial" w:cs="Arial" w:eastAsia="Arial" w:hAnsi="Arial"/>
          <w:sz w:val="22"/>
          <w:szCs w:val="22"/>
        </w:rPr>
        <w:t xml:space="preserve">__________________________________</w:t>
      </w:r>
    </w:p>
    <w:p>
      <w:pPr>
        <w:spacing w:after="40" w:before="40"/>
        <w:jc w:val="right"/>
      </w:pPr>
      <w:r>
        <w:rPr>
          <w:rFonts w:ascii="Arial" w:cs="Arial" w:eastAsia="Arial" w:hAnsi="Arial"/>
          <w:b/>
          <w:bCs/>
          <w:sz w:val="22"/>
          <w:szCs w:val="22"/>
        </w:rPr>
        <w:t xml:space="preserve">Nama: _______________________________</w:t>
      </w:r>
    </w:p>
    <w:p>
      <w:pPr>
        <w:spacing w:after="40" w:before="40"/>
        <w:jc w:val="right"/>
      </w:pPr>
      <w:r>
        <w:rPr>
          <w:rFonts w:ascii="Arial" w:cs="Arial" w:eastAsia="Arial" w:hAnsi="Arial"/>
          <w:color w:val="555555"/>
          <w:sz w:val="22"/>
          <w:szCs w:val="22"/>
        </w:rPr>
        <w:t xml:space="preserve">NIP   : _______________________________</w:t>
      </w:r>
    </w:p>
    <w:p>
      <w:r>
        <w:rPr>
          <w:sz w:val="22"/>
          <w:szCs w:val="22"/>
        </w:rPr>
        <w:t xml:space="preserve"/>
      </w:r>
    </w:p>
    <w:p>
      <w:pPr>
        <w:pBdr>
          <w:bottom w:val="single" w:color="2E75B6" w:sz="6" w:space="4"/>
        </w:pBdr>
        <w:spacing w:after="120" w:before="120"/>
      </w:pPr>
      <w:r>
        <w:rPr>
          <w:sz w:val="22"/>
          <w:szCs w:val="22"/>
        </w:rPr>
        <w:t xml:space="preserve"/>
      </w:r>
    </w:p>
    <w:p>
      <w:pPr>
        <w:spacing w:after="100" w:before="100"/>
        <w:jc w:val="left"/>
      </w:pPr>
      <w:r>
        <w:rPr>
          <w:rFonts w:ascii="Arial" w:cs="Arial" w:eastAsia="Arial" w:hAnsi="Arial"/>
          <w:b/>
          <w:bCs/>
          <w:i w:val="false"/>
          <w:iCs w:val="false"/>
          <w:color w:val="1F4E79"/>
          <w:sz w:val="22"/>
          <w:szCs w:val="22"/>
        </w:rPr>
        <w:t xml:space="preserve">TEMBUSAN:</w:t>
      </w:r>
    </w:p>
    <w:p>
      <w:pPr>
        <w:pStyle w:val="ListParagraph"/>
        <w:numPr>
          <w:ilvl w:val="0"/>
          <w:numId w:val="2"/>
        </w:numPr>
        <w:spacing w:after="40" w:before="40"/>
      </w:pPr>
      <w:r>
        <w:rPr>
          <w:rFonts w:ascii="Arial" w:cs="Arial" w:eastAsia="Arial" w:hAnsi="Arial"/>
          <w:sz w:val="22"/>
          <w:szCs w:val="22"/>
        </w:rPr>
        <w:t xml:space="preserve">Presiden Direktur PT Equity Life Indonesia</w:t>
      </w:r>
    </w:p>
    <w:p>
      <w:pPr>
        <w:pStyle w:val="ListParagraph"/>
        <w:numPr>
          <w:ilvl w:val="0"/>
          <w:numId w:val="2"/>
        </w:numPr>
        <w:spacing w:after="40" w:before="40"/>
      </w:pPr>
      <w:r>
        <w:rPr>
          <w:rFonts w:ascii="Arial" w:cs="Arial" w:eastAsia="Arial" w:hAnsi="Arial"/>
          <w:sz w:val="22"/>
          <w:szCs w:val="22"/>
        </w:rPr>
        <w:t xml:space="preserve">Komite Pengelola Teknologi Informasi</w:t>
      </w:r>
    </w:p>
    <w:p>
      <w:pPr>
        <w:pStyle w:val="ListParagraph"/>
        <w:numPr>
          <w:ilvl w:val="0"/>
          <w:numId w:val="2"/>
        </w:numPr>
        <w:spacing w:after="40" w:before="40"/>
      </w:pPr>
      <w:r>
        <w:rPr>
          <w:rFonts w:ascii="Arial" w:cs="Arial" w:eastAsia="Arial" w:hAnsi="Arial"/>
          <w:sz w:val="22"/>
          <w:szCs w:val="22"/>
        </w:rPr>
        <w:t xml:space="preserve">Head of Risk Management</w:t>
      </w:r>
    </w:p>
    <w:p>
      <w:pPr>
        <w:pStyle w:val="ListParagraph"/>
        <w:numPr>
          <w:ilvl w:val="0"/>
          <w:numId w:val="2"/>
        </w:numPr>
        <w:spacing w:after="40" w:before="40"/>
      </w:pPr>
      <w:r>
        <w:rPr>
          <w:rFonts w:ascii="Arial" w:cs="Arial" w:eastAsia="Arial" w:hAnsi="Arial"/>
          <w:sz w:val="22"/>
          <w:szCs w:val="22"/>
        </w:rPr>
        <w:t xml:space="preserve">Head of Development Security Operation (Ketua CAB)</w:t>
      </w:r>
    </w:p>
    <w:p>
      <w:pPr>
        <w:pStyle w:val="ListParagraph"/>
        <w:numPr>
          <w:ilvl w:val="0"/>
          <w:numId w:val="2"/>
        </w:numPr>
        <w:spacing w:after="40" w:before="40"/>
      </w:pPr>
      <w:r>
        <w:rPr>
          <w:rFonts w:ascii="Arial" w:cs="Arial" w:eastAsia="Arial" w:hAnsi="Arial"/>
          <w:sz w:val="22"/>
          <w:szCs w:val="22"/>
        </w:rPr>
        <w:t xml:space="preserve">Seluruh anggota CAB</w:t>
      </w:r>
    </w:p>
    <w:p>
      <w:pPr>
        <w:pStyle w:val="ListParagraph"/>
        <w:numPr>
          <w:ilvl w:val="0"/>
          <w:numId w:val="2"/>
        </w:numPr>
        <w:spacing w:after="40" w:before="40"/>
      </w:pPr>
      <w:r>
        <w:rPr>
          <w:rFonts w:ascii="Arial" w:cs="Arial" w:eastAsia="Arial" w:hAnsi="Arial"/>
          <w:sz w:val="22"/>
          <w:szCs w:val="22"/>
        </w:rPr>
        <w:t xml:space="preserve">Arsip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Halaman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dari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SK-CTIO-001/TID/III/2026   |   Kebijakan Pembentukan CAB   |   Technology &amp; Information Directorate   |   Rahasia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100" w:before="18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2026-03-16T22:29:16.574Z</dcterms:created>
  <dcterms:modified xsi:type="dcterms:W3CDTF">2026-03-16T22:29:16.574Z</dcterms:modified>
</cp:coreProperties>
</file>

<file path=docProps/custom.xml><?xml version="1.0" encoding="utf-8"?>
<Properties xmlns="http://schemas.openxmlformats.org/officeDocument/2006/custom-properties" xmlns:vt="http://schemas.openxmlformats.org/officeDocument/2006/docPropsVTypes"/>
</file>