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KEBIJAKAN KEAMANAN PENGGUNAAN LAYANAN CLOUD</w:t>
            </w:r>
          </w:p>
          <w:p>
            <w:pPr>
              <w:jc w:val="center"/>
            </w:pPr>
            <w:r>
              <w:rPr>
                <w:rFonts w:ascii="Arial" w:cs="Arial" w:eastAsia="Arial" w:hAnsi="Arial"/>
                <w:color w:val="B8D4F0"/>
                <w:sz w:val="22"/>
                <w:szCs w:val="22"/>
              </w:rPr>
              <w:t xml:space="preserve">ISO/IEC 27001:2022 – Annex A 5.23 | Information Security for Use of Cloud Services</w:t>
            </w:r>
          </w:p>
        </w:tc>
      </w:tr>
      <w:tr>
        <w:tc>
          <w:tcPr>
            <w:tcW w:type="dxa" w:w="9360"/>
            <w:tcBorders>
              <w:top w:val="single" w:color="B8CCE4" w:sz="1"/>
              <w:left w:val="single" w:color="B8CCE4" w:sz="1"/>
              <w:bottom w:val="single" w:color="B8CCE4" w:sz="1"/>
              <w:right w:val="single" w:color="B8CCE4" w:sz="1"/>
            </w:tcBorders>
            <w:shd w:fill="D6E4F0" w:val="clear"/>
            <w:tcMar>
              <w:top w:type="dxa" w:w="120"/>
              <w:left w:type="dxa" w:w="300"/>
              <w:bottom w:type="dxa" w:w="120"/>
              <w:right w:type="dxa" w:w="300"/>
            </w:tcMar>
          </w:tcPr>
          <w:p>
            <w:pPr>
              <w:jc w:val="center"/>
            </w:pPr>
            <w:r>
              <w:rPr>
                <w:rFonts w:ascii="Arial" w:cs="Arial" w:eastAsia="Arial" w:hAnsi="Arial"/>
                <w:color w:val="1F3864"/>
                <w:sz w:val="19"/>
                <w:szCs w:val="19"/>
              </w:rPr>
              <w:t xml:space="preserve">Nomor Dokumen: POL-ISMS-CS-001   |   Versi: 1.0   |   Tanggal: Maret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D6E4F0" w:val="clear"/>
            <w:tcMar>
              <w:top w:type="dxa" w:w="80"/>
              <w:left w:type="dxa" w:w="150"/>
              <w:bottom w:type="dxa" w:w="80"/>
              <w:right w:type="dxa" w:w="150"/>
            </w:tcMar>
          </w:tcPr>
          <w:p>
            <w:pPr>
              <w:jc w:val="left"/>
            </w:pPr>
            <w:r>
              <w:rPr>
                <w:rFonts w:ascii="Arial" w:cs="Arial" w:eastAsia="Arial" w:hAnsi="Arial"/>
                <w:b/>
                <w:bCs/>
                <w:sz w:val="19"/>
                <w:szCs w:val="19"/>
              </w:rPr>
              <w:t xml:space="preserve">Klasifikasi Dokumen</w:t>
            </w:r>
          </w:p>
        </w:tc>
        <w:tc>
          <w:tcPr>
            <w:tcW w:type="dxa" w:w="63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INTERNAL – TERBATAS</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Pemilik Dokumen</w:t>
            </w:r>
          </w:p>
        </w:tc>
        <w:tc>
          <w:tcPr>
            <w:tcW w:type="dxa" w:w="63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Chief Information Security Officer (CISO)</w:t>
            </w:r>
          </w:p>
        </w:tc>
      </w:tr>
      <w:tr>
        <w:tc>
          <w:tcPr>
            <w:tcW w:type="dxa" w:w="3000"/>
            <w:tcBorders>
              <w:top w:val="single" w:color="B8CCE4" w:sz="1"/>
              <w:left w:val="single" w:color="B8CCE4" w:sz="1"/>
              <w:bottom w:val="single" w:color="B8CCE4" w:sz="1"/>
              <w:right w:val="single" w:color="B8CCE4" w:sz="1"/>
            </w:tcBorders>
            <w:shd w:fill="D6E4F0" w:val="clear"/>
            <w:tcMar>
              <w:top w:type="dxa" w:w="80"/>
              <w:left w:type="dxa" w:w="150"/>
              <w:bottom w:type="dxa" w:w="80"/>
              <w:right w:type="dxa" w:w="150"/>
            </w:tcMar>
          </w:tcPr>
          <w:p>
            <w:pPr>
              <w:jc w:val="left"/>
            </w:pPr>
            <w:r>
              <w:rPr>
                <w:rFonts w:ascii="Arial" w:cs="Arial" w:eastAsia="Arial" w:hAnsi="Arial"/>
                <w:b/>
                <w:bCs/>
                <w:sz w:val="19"/>
                <w:szCs w:val="19"/>
              </w:rPr>
              <w:t xml:space="preserve">Disetujui Oleh</w:t>
            </w:r>
          </w:p>
        </w:tc>
        <w:tc>
          <w:tcPr>
            <w:tcW w:type="dxa" w:w="63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Direktur Utama / Board of Directors</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Berlaku Sejak</w:t>
            </w:r>
          </w:p>
        </w:tc>
        <w:tc>
          <w:tcPr>
            <w:tcW w:type="dxa" w:w="63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Maret 2026</w:t>
            </w:r>
          </w:p>
        </w:tc>
      </w:tr>
      <w:tr>
        <w:tc>
          <w:tcPr>
            <w:tcW w:type="dxa" w:w="3000"/>
            <w:tcBorders>
              <w:top w:val="single" w:color="B8CCE4" w:sz="1"/>
              <w:left w:val="single" w:color="B8CCE4" w:sz="1"/>
              <w:bottom w:val="single" w:color="B8CCE4" w:sz="1"/>
              <w:right w:val="single" w:color="B8CCE4" w:sz="1"/>
            </w:tcBorders>
            <w:shd w:fill="D6E4F0" w:val="clear"/>
            <w:tcMar>
              <w:top w:type="dxa" w:w="80"/>
              <w:left w:type="dxa" w:w="150"/>
              <w:bottom w:type="dxa" w:w="80"/>
              <w:right w:type="dxa" w:w="150"/>
            </w:tcMar>
          </w:tcPr>
          <w:p>
            <w:pPr>
              <w:jc w:val="left"/>
            </w:pPr>
            <w:r>
              <w:rPr>
                <w:rFonts w:ascii="Arial" w:cs="Arial" w:eastAsia="Arial" w:hAnsi="Arial"/>
                <w:b/>
                <w:bCs/>
                <w:sz w:val="19"/>
                <w:szCs w:val="19"/>
              </w:rPr>
              <w:t xml:space="preserve">Jadwal Review</w:t>
            </w:r>
          </w:p>
        </w:tc>
        <w:tc>
          <w:tcPr>
            <w:tcW w:type="dxa" w:w="63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Setiap 1 (satu) tahun atau bila ada perubahan signifikan</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Referensi Standar</w:t>
            </w:r>
          </w:p>
        </w:tc>
        <w:tc>
          <w:tcPr>
            <w:tcW w:type="dxa" w:w="63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ISO/IEC 27001:2022 Annex A 5.23, CSA CCM v4, NIST SP 800-145</w:t>
            </w:r>
          </w:p>
        </w:tc>
      </w:tr>
    </w:tbl>
    <w:p>
      <w:pPr>
        <w:spacing w:after="60" w:before="60"/>
      </w:pPr>
      <w:r>
        <w:t xml:space="preserve"/>
      </w:r>
    </w:p>
    <w:p>
      <w:pPr>
        <w:pStyle w:val="Heading1"/>
        <w:spacing w:after="160" w:before="320"/>
      </w:pPr>
      <w:r>
        <w:rPr>
          <w:rFonts w:ascii="Arial" w:cs="Arial" w:eastAsia="Arial" w:hAnsi="Arial"/>
          <w:b/>
          <w:bCs/>
          <w:color w:val="1F3864"/>
          <w:sz w:val="28"/>
          <w:szCs w:val="28"/>
        </w:rPr>
        <w:t xml:space="preserve">1. TUJUAN</w:t>
      </w:r>
    </w:p>
    <w:p>
      <w:pPr>
        <w:spacing w:after="80" w:before="80"/>
      </w:pPr>
      <w:r>
        <w:rPr>
          <w:rFonts w:ascii="Arial" w:cs="Arial" w:eastAsia="Arial" w:hAnsi="Arial"/>
          <w:b w:val="false"/>
          <w:bCs w:val="false"/>
          <w:sz w:val="20"/>
          <w:szCs w:val="20"/>
        </w:rPr>
        <w:t xml:space="preserve">Kebijakan ini menetapkan persyaratan dan arah strategis organisasi dalam mengelola keamanan informasi terkait penggunaan layanan cloud computing. Kebijakan ini memastikan bahwa risiko keamanan informasi yang berkaitan dengan layanan cloud diidentifikasi, dinilai, dan dikelola secara efektif sesuai dengan standar ISO/IEC 27001:2022.</w:t>
      </w:r>
    </w:p>
    <w:p>
      <w:pPr>
        <w:pStyle w:val="Heading1"/>
        <w:spacing w:after="160" w:before="320"/>
      </w:pPr>
      <w:r>
        <w:rPr>
          <w:rFonts w:ascii="Arial" w:cs="Arial" w:eastAsia="Arial" w:hAnsi="Arial"/>
          <w:b/>
          <w:bCs/>
          <w:color w:val="1F3864"/>
          <w:sz w:val="28"/>
          <w:szCs w:val="28"/>
        </w:rPr>
        <w:t xml:space="preserve">2. RUANG LINGKUP</w:t>
      </w:r>
    </w:p>
    <w:p>
      <w:pPr>
        <w:spacing w:after="80" w:before="80"/>
      </w:pPr>
      <w:r>
        <w:rPr>
          <w:rFonts w:ascii="Arial" w:cs="Arial" w:eastAsia="Arial" w:hAnsi="Arial"/>
          <w:b w:val="false"/>
          <w:bCs w:val="false"/>
          <w:sz w:val="20"/>
          <w:szCs w:val="20"/>
        </w:rPr>
        <w:t xml:space="preserve">Kebijakan ini berlaku untuk:</w:t>
      </w:r>
    </w:p>
    <w:p>
      <w:pPr>
        <w:pStyle w:val="ListParagraph"/>
        <w:numPr>
          <w:ilvl w:val="0"/>
          <w:numId w:val="2"/>
        </w:numPr>
        <w:spacing w:after="60" w:before="60"/>
      </w:pPr>
      <w:r>
        <w:rPr>
          <w:rFonts w:ascii="Arial" w:cs="Arial" w:eastAsia="Arial" w:hAnsi="Arial"/>
          <w:sz w:val="20"/>
          <w:szCs w:val="20"/>
        </w:rPr>
        <w:t xml:space="preserve">Seluruh layanan cloud yang digunakan oleh organisasi (IaaS, PaaS, SaaS)</w:t>
      </w:r>
    </w:p>
    <w:p>
      <w:pPr>
        <w:pStyle w:val="ListParagraph"/>
        <w:numPr>
          <w:ilvl w:val="0"/>
          <w:numId w:val="2"/>
        </w:numPr>
        <w:spacing w:after="60" w:before="60"/>
      </w:pPr>
      <w:r>
        <w:rPr>
          <w:rFonts w:ascii="Arial" w:cs="Arial" w:eastAsia="Arial" w:hAnsi="Arial"/>
          <w:sz w:val="20"/>
          <w:szCs w:val="20"/>
        </w:rPr>
        <w:t xml:space="preserve">Semua karyawan, kontraktor, mitra bisnis yang mengakses atau mengelola layanan cloud</w:t>
      </w:r>
    </w:p>
    <w:p>
      <w:pPr>
        <w:pStyle w:val="ListParagraph"/>
        <w:numPr>
          <w:ilvl w:val="0"/>
          <w:numId w:val="2"/>
        </w:numPr>
        <w:spacing w:after="60" w:before="60"/>
      </w:pPr>
      <w:r>
        <w:rPr>
          <w:rFonts w:ascii="Arial" w:cs="Arial" w:eastAsia="Arial" w:hAnsi="Arial"/>
          <w:sz w:val="20"/>
          <w:szCs w:val="20"/>
        </w:rPr>
        <w:t xml:space="preserve">Semua data organisasi yang disimpan, diproses, atau ditransmisikan melalui layanan cloud</w:t>
      </w:r>
    </w:p>
    <w:p>
      <w:pPr>
        <w:pStyle w:val="ListParagraph"/>
        <w:numPr>
          <w:ilvl w:val="0"/>
          <w:numId w:val="2"/>
        </w:numPr>
        <w:spacing w:after="60" w:before="60"/>
      </w:pPr>
      <w:r>
        <w:rPr>
          <w:rFonts w:ascii="Arial" w:cs="Arial" w:eastAsia="Arial" w:hAnsi="Arial"/>
          <w:sz w:val="20"/>
          <w:szCs w:val="20"/>
        </w:rPr>
        <w:t xml:space="preserve">Departemen IT, Tim Keamanan Informasi, dan semua unit bisnis yang menggunakan layanan cloud</w:t>
      </w:r>
    </w:p>
    <w:p>
      <w:pPr>
        <w:pStyle w:val="Heading1"/>
        <w:spacing w:after="160" w:before="320"/>
      </w:pPr>
      <w:r>
        <w:rPr>
          <w:rFonts w:ascii="Arial" w:cs="Arial" w:eastAsia="Arial" w:hAnsi="Arial"/>
          <w:b/>
          <w:bCs/>
          <w:color w:val="1F3864"/>
          <w:sz w:val="28"/>
          <w:szCs w:val="28"/>
        </w:rPr>
        <w:t xml:space="preserve">3. REFERENSI REGULASI DAN STANDAR</w:t>
      </w:r>
    </w:p>
    <w:p>
      <w:pPr>
        <w:spacing w:after="80" w:before="80"/>
      </w:pPr>
      <w:r>
        <w:rPr>
          <w:rFonts w:ascii="Arial" w:cs="Arial" w:eastAsia="Arial" w:hAnsi="Arial"/>
          <w:b w:val="false"/>
          <w:bCs w:val="false"/>
          <w:sz w:val="20"/>
          <w:szCs w:val="20"/>
        </w:rPr>
        <w:t xml:space="preserve">Kebijakan ini merujuk pada:</w:t>
      </w:r>
    </w:p>
    <w:p>
      <w:pPr>
        <w:pStyle w:val="ListParagraph"/>
        <w:numPr>
          <w:ilvl w:val="0"/>
          <w:numId w:val="2"/>
        </w:numPr>
        <w:spacing w:after="60" w:before="60"/>
      </w:pPr>
      <w:r>
        <w:rPr>
          <w:rFonts w:ascii="Arial" w:cs="Arial" w:eastAsia="Arial" w:hAnsi="Arial"/>
          <w:sz w:val="20"/>
          <w:szCs w:val="20"/>
        </w:rPr>
        <w:t xml:space="preserve">ISO/IEC 27001:2022 – Annex A Control 5.23: Information security for use of cloud services</w:t>
      </w:r>
    </w:p>
    <w:p>
      <w:pPr>
        <w:pStyle w:val="ListParagraph"/>
        <w:numPr>
          <w:ilvl w:val="0"/>
          <w:numId w:val="2"/>
        </w:numPr>
        <w:spacing w:after="60" w:before="60"/>
      </w:pPr>
      <w:r>
        <w:rPr>
          <w:rFonts w:ascii="Arial" w:cs="Arial" w:eastAsia="Arial" w:hAnsi="Arial"/>
          <w:sz w:val="20"/>
          <w:szCs w:val="20"/>
        </w:rPr>
        <w:t xml:space="preserve">ISO/IEC 27017:2015 – Code of practice for information security controls for cloud services</w:t>
      </w:r>
    </w:p>
    <w:p>
      <w:pPr>
        <w:pStyle w:val="ListParagraph"/>
        <w:numPr>
          <w:ilvl w:val="0"/>
          <w:numId w:val="2"/>
        </w:numPr>
        <w:spacing w:after="60" w:before="60"/>
      </w:pPr>
      <w:r>
        <w:rPr>
          <w:rFonts w:ascii="Arial" w:cs="Arial" w:eastAsia="Arial" w:hAnsi="Arial"/>
          <w:sz w:val="20"/>
          <w:szCs w:val="20"/>
        </w:rPr>
        <w:t xml:space="preserve">ISO/IEC 27018:2019 – Code of practice for protection of PII in public clouds</w:t>
      </w:r>
    </w:p>
    <w:p>
      <w:pPr>
        <w:pStyle w:val="ListParagraph"/>
        <w:numPr>
          <w:ilvl w:val="0"/>
          <w:numId w:val="2"/>
        </w:numPr>
        <w:spacing w:after="60" w:before="60"/>
      </w:pPr>
      <w:r>
        <w:rPr>
          <w:rFonts w:ascii="Arial" w:cs="Arial" w:eastAsia="Arial" w:hAnsi="Arial"/>
          <w:sz w:val="20"/>
          <w:szCs w:val="20"/>
        </w:rPr>
        <w:t xml:space="preserve">Peraturan Pemerintah No. 71 Tahun 2019 tentang Penyelenggaraan Sistem dan Transaksi Elektronik</w:t>
      </w:r>
    </w:p>
    <w:p>
      <w:pPr>
        <w:pStyle w:val="ListParagraph"/>
        <w:numPr>
          <w:ilvl w:val="0"/>
          <w:numId w:val="2"/>
        </w:numPr>
        <w:spacing w:after="60" w:before="60"/>
      </w:pPr>
      <w:r>
        <w:rPr>
          <w:rFonts w:ascii="Arial" w:cs="Arial" w:eastAsia="Arial" w:hAnsi="Arial"/>
          <w:sz w:val="20"/>
          <w:szCs w:val="20"/>
        </w:rPr>
        <w:t xml:space="preserve">UU No. 27 Tahun 2022 tentang Pelindungan Data Pribadi (UU PDP)</w:t>
      </w:r>
    </w:p>
    <w:p>
      <w:pPr>
        <w:pStyle w:val="ListParagraph"/>
        <w:numPr>
          <w:ilvl w:val="0"/>
          <w:numId w:val="2"/>
        </w:numPr>
        <w:spacing w:after="60" w:before="60"/>
      </w:pPr>
      <w:r>
        <w:rPr>
          <w:rFonts w:ascii="Arial" w:cs="Arial" w:eastAsia="Arial" w:hAnsi="Arial"/>
          <w:sz w:val="20"/>
          <w:szCs w:val="20"/>
        </w:rPr>
        <w:t xml:space="preserve">Peraturan BSSN terkait keamanan siber dan cloud computing</w:t>
      </w:r>
    </w:p>
    <w:p>
      <w:pPr>
        <w:pStyle w:val="Heading1"/>
        <w:spacing w:after="160" w:before="320"/>
      </w:pPr>
      <w:r>
        <w:rPr>
          <w:rFonts w:ascii="Arial" w:cs="Arial" w:eastAsia="Arial" w:hAnsi="Arial"/>
          <w:b/>
          <w:bCs/>
          <w:color w:val="1F3864"/>
          <w:sz w:val="28"/>
          <w:szCs w:val="28"/>
        </w:rPr>
        <w:t xml:space="preserve">4. DEFINISI DAN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ISTILAH</w:t>
            </w:r>
          </w:p>
        </w:tc>
        <w:tc>
          <w:tcPr>
            <w:tcW w:type="dxa" w:w="686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DEFINISI</w:t>
            </w:r>
          </w:p>
        </w:tc>
      </w:tr>
      <w:tr>
        <w:tc>
          <w:tcPr>
            <w:tcW w:type="dxa" w:w="25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Cloud Computing</w:t>
            </w:r>
          </w:p>
        </w:tc>
        <w:tc>
          <w:tcPr>
            <w:tcW w:type="dxa" w:w="68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Model komputasi yang memungkinkan akses jaringan yang nyaman dan sesuai permintaan ke kumpulan sumber daya komputasi yang dapat dikonfigurasi (NIST SP 800-145)</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IaaS (Infrastructure as a Service)</w:t>
            </w:r>
          </w:p>
        </w:tc>
        <w:tc>
          <w:tcPr>
            <w:tcW w:type="dxa" w:w="68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Layanan cloud yang menyediakan infrastruktur komputasi virtual (server, storage, network)</w:t>
            </w:r>
          </w:p>
        </w:tc>
      </w:tr>
      <w:tr>
        <w:tc>
          <w:tcPr>
            <w:tcW w:type="dxa" w:w="25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PaaS (Platform as a Service)</w:t>
            </w:r>
          </w:p>
        </w:tc>
        <w:tc>
          <w:tcPr>
            <w:tcW w:type="dxa" w:w="68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Layanan cloud yang menyediakan platform untuk pengembangan dan deployment aplikasi</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SaaS (Software as a Service)</w:t>
            </w:r>
          </w:p>
        </w:tc>
        <w:tc>
          <w:tcPr>
            <w:tcW w:type="dxa" w:w="68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Layanan cloud yang menyediakan aplikasi siap pakai melalui internet</w:t>
            </w:r>
          </w:p>
        </w:tc>
      </w:tr>
      <w:tr>
        <w:tc>
          <w:tcPr>
            <w:tcW w:type="dxa" w:w="25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CSP (Cloud Service Provider)</w:t>
            </w:r>
          </w:p>
        </w:tc>
        <w:tc>
          <w:tcPr>
            <w:tcW w:type="dxa" w:w="68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Penyedia layanan cloud yang digunakan oleh organisasi</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Cloud Security Assessment</w:t>
            </w:r>
          </w:p>
        </w:tc>
        <w:tc>
          <w:tcPr>
            <w:tcW w:type="dxa" w:w="68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Proses evaluasi risiko dan kontrol keamanan pada layanan cloud</w:t>
            </w:r>
          </w:p>
        </w:tc>
      </w:tr>
      <w:tr>
        <w:tc>
          <w:tcPr>
            <w:tcW w:type="dxa" w:w="25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Shared Responsibility Model</w:t>
            </w:r>
          </w:p>
        </w:tc>
        <w:tc>
          <w:tcPr>
            <w:tcW w:type="dxa" w:w="68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Model tanggung jawab bersama antara CSP dan pelanggan dalam menjaga keamanan cloud</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Data Residency</w:t>
            </w:r>
          </w:p>
        </w:tc>
        <w:tc>
          <w:tcPr>
            <w:tcW w:type="dxa" w:w="68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Persyaratan lokasi geografis tempat data harus disimpan</w:t>
            </w:r>
          </w:p>
        </w:tc>
      </w:tr>
    </w:tbl>
    <w:p>
      <w:pPr>
        <w:pStyle w:val="Heading1"/>
        <w:spacing w:after="160" w:before="320"/>
      </w:pPr>
      <w:r>
        <w:rPr>
          <w:rFonts w:ascii="Arial" w:cs="Arial" w:eastAsia="Arial" w:hAnsi="Arial"/>
          <w:b/>
          <w:bCs/>
          <w:color w:val="1F3864"/>
          <w:sz w:val="28"/>
          <w:szCs w:val="28"/>
        </w:rPr>
        <w:t xml:space="preserve">5. PERNYATAAN KEBIJAKAN</w:t>
      </w:r>
    </w:p>
    <w:p>
      <w:pPr>
        <w:pStyle w:val="Heading2"/>
        <w:spacing w:after="120" w:before="240"/>
      </w:pPr>
      <w:r>
        <w:rPr>
          <w:rFonts w:ascii="Arial" w:cs="Arial" w:eastAsia="Arial" w:hAnsi="Arial"/>
          <w:b/>
          <w:bCs/>
          <w:color w:val="2E5DA3"/>
          <w:sz w:val="24"/>
          <w:szCs w:val="24"/>
        </w:rPr>
        <w:t xml:space="preserve">5.1 Prinsip Dasar</w:t>
      </w:r>
    </w:p>
    <w:p>
      <w:pPr>
        <w:spacing w:after="80" w:before="80"/>
      </w:pPr>
      <w:r>
        <w:rPr>
          <w:rFonts w:ascii="Arial" w:cs="Arial" w:eastAsia="Arial" w:hAnsi="Arial"/>
          <w:b w:val="false"/>
          <w:bCs w:val="false"/>
          <w:sz w:val="20"/>
          <w:szCs w:val="20"/>
        </w:rPr>
        <w:t xml:space="preserve">Organisasi berkomitmen untuk:</w:t>
      </w:r>
    </w:p>
    <w:p>
      <w:pPr>
        <w:pStyle w:val="ListParagraph"/>
        <w:numPr>
          <w:ilvl w:val="0"/>
          <w:numId w:val="2"/>
        </w:numPr>
        <w:spacing w:after="60" w:before="60"/>
      </w:pPr>
      <w:r>
        <w:rPr>
          <w:rFonts w:ascii="Arial" w:cs="Arial" w:eastAsia="Arial" w:hAnsi="Arial"/>
          <w:sz w:val="20"/>
          <w:szCs w:val="20"/>
        </w:rPr>
        <w:t xml:space="preserve">Menggunakan layanan cloud hanya yang telah melalui proses evaluasi dan persetujuan formal</w:t>
      </w:r>
    </w:p>
    <w:p>
      <w:pPr>
        <w:pStyle w:val="ListParagraph"/>
        <w:numPr>
          <w:ilvl w:val="0"/>
          <w:numId w:val="2"/>
        </w:numPr>
        <w:spacing w:after="60" w:before="60"/>
      </w:pPr>
      <w:r>
        <w:rPr>
          <w:rFonts w:ascii="Arial" w:cs="Arial" w:eastAsia="Arial" w:hAnsi="Arial"/>
          <w:sz w:val="20"/>
          <w:szCs w:val="20"/>
        </w:rPr>
        <w:t xml:space="preserve">Menerapkan kontrol keamanan yang proporsional dengan risiko yang ada</w:t>
      </w:r>
    </w:p>
    <w:p>
      <w:pPr>
        <w:pStyle w:val="ListParagraph"/>
        <w:numPr>
          <w:ilvl w:val="0"/>
          <w:numId w:val="2"/>
        </w:numPr>
        <w:spacing w:after="60" w:before="60"/>
      </w:pPr>
      <w:r>
        <w:rPr>
          <w:rFonts w:ascii="Arial" w:cs="Arial" w:eastAsia="Arial" w:hAnsi="Arial"/>
          <w:sz w:val="20"/>
          <w:szCs w:val="20"/>
        </w:rPr>
        <w:t xml:space="preserve">Memastikan kepatuhan terhadap regulasi perlindungan data yang berlaku</w:t>
      </w:r>
    </w:p>
    <w:p>
      <w:pPr>
        <w:pStyle w:val="ListParagraph"/>
        <w:numPr>
          <w:ilvl w:val="0"/>
          <w:numId w:val="2"/>
        </w:numPr>
        <w:spacing w:after="60" w:before="60"/>
      </w:pPr>
      <w:r>
        <w:rPr>
          <w:rFonts w:ascii="Arial" w:cs="Arial" w:eastAsia="Arial" w:hAnsi="Arial"/>
          <w:sz w:val="20"/>
          <w:szCs w:val="20"/>
        </w:rPr>
        <w:t xml:space="preserve">Menjaga visibilitas dan kontrol atas data yang disimpan di cloud</w:t>
      </w:r>
    </w:p>
    <w:p>
      <w:pPr>
        <w:pStyle w:val="ListParagraph"/>
        <w:numPr>
          <w:ilvl w:val="0"/>
          <w:numId w:val="2"/>
        </w:numPr>
        <w:spacing w:after="60" w:before="60"/>
      </w:pPr>
      <w:r>
        <w:rPr>
          <w:rFonts w:ascii="Arial" w:cs="Arial" w:eastAsia="Arial" w:hAnsi="Arial"/>
          <w:sz w:val="20"/>
          <w:szCs w:val="20"/>
        </w:rPr>
        <w:t xml:space="preserve">Mengelola hubungan dengan CSP melalui perjanjian kontraktual yang memadai</w:t>
      </w:r>
    </w:p>
    <w:p>
      <w:pPr>
        <w:pStyle w:val="Heading2"/>
        <w:spacing w:after="120" w:before="240"/>
      </w:pPr>
      <w:r>
        <w:rPr>
          <w:rFonts w:ascii="Arial" w:cs="Arial" w:eastAsia="Arial" w:hAnsi="Arial"/>
          <w:b/>
          <w:bCs/>
          <w:color w:val="2E5DA3"/>
          <w:sz w:val="24"/>
          <w:szCs w:val="24"/>
        </w:rPr>
        <w:t xml:space="preserve">5.2 Persyaratan Penggunaan Layanan Cloud</w:t>
      </w:r>
    </w:p>
    <w:p>
      <w:pPr>
        <w:spacing w:after="80" w:before="80"/>
      </w:pPr>
      <w:r>
        <w:rPr>
          <w:rFonts w:ascii="Arial" w:cs="Arial" w:eastAsia="Arial" w:hAnsi="Arial"/>
          <w:b w:val="false"/>
          <w:bCs w:val="false"/>
          <w:sz w:val="20"/>
          <w:szCs w:val="20"/>
        </w:rPr>
        <w:t xml:space="preserve">5.2.1 Evaluasi dan Seleksi CSP</w:t>
      </w:r>
    </w:p>
    <w:p>
      <w:pPr>
        <w:pStyle w:val="ListParagraph"/>
        <w:numPr>
          <w:ilvl w:val="0"/>
          <w:numId w:val="2"/>
        </w:numPr>
        <w:spacing w:after="60" w:before="60"/>
      </w:pPr>
      <w:r>
        <w:rPr>
          <w:rFonts w:ascii="Arial" w:cs="Arial" w:eastAsia="Arial" w:hAnsi="Arial"/>
          <w:sz w:val="20"/>
          <w:szCs w:val="20"/>
        </w:rPr>
        <w:t xml:space="preserve">Semua CSP harus melalui proses Cloud Security Assessment sebelum digunakan</w:t>
      </w:r>
    </w:p>
    <w:p>
      <w:pPr>
        <w:pStyle w:val="ListParagraph"/>
        <w:numPr>
          <w:ilvl w:val="0"/>
          <w:numId w:val="2"/>
        </w:numPr>
        <w:spacing w:after="60" w:before="60"/>
      </w:pPr>
      <w:r>
        <w:rPr>
          <w:rFonts w:ascii="Arial" w:cs="Arial" w:eastAsia="Arial" w:hAnsi="Arial"/>
          <w:sz w:val="20"/>
          <w:szCs w:val="20"/>
        </w:rPr>
        <w:t xml:space="preserve">CSP harus memiliki sertifikasi keamanan yang relevan (ISO 27001, SOC 2, CSA STAR)</w:t>
      </w:r>
    </w:p>
    <w:p>
      <w:pPr>
        <w:pStyle w:val="ListParagraph"/>
        <w:numPr>
          <w:ilvl w:val="0"/>
          <w:numId w:val="2"/>
        </w:numPr>
        <w:spacing w:after="60" w:before="60"/>
      </w:pPr>
      <w:r>
        <w:rPr>
          <w:rFonts w:ascii="Arial" w:cs="Arial" w:eastAsia="Arial" w:hAnsi="Arial"/>
          <w:sz w:val="20"/>
          <w:szCs w:val="20"/>
        </w:rPr>
        <w:t xml:space="preserve">CSP harus dapat memberikan laporan audit dan evidence kepatuhan secara berkala</w:t>
      </w:r>
    </w:p>
    <w:p>
      <w:pPr>
        <w:pStyle w:val="ListParagraph"/>
        <w:numPr>
          <w:ilvl w:val="0"/>
          <w:numId w:val="2"/>
        </w:numPr>
        <w:spacing w:after="60" w:before="60"/>
      </w:pPr>
      <w:r>
        <w:rPr>
          <w:rFonts w:ascii="Arial" w:cs="Arial" w:eastAsia="Arial" w:hAnsi="Arial"/>
          <w:sz w:val="20"/>
          <w:szCs w:val="20"/>
        </w:rPr>
        <w:t xml:space="preserve">Evaluasi mencakup aspek: keamanan data, ketersediaan layanan, lokasi data, dan kemampuan forensik</w:t>
      </w:r>
    </w:p>
    <w:p>
      <w:pPr>
        <w:spacing w:after="60" w:before="60"/>
      </w:pPr>
      <w:r>
        <w:t xml:space="preserve"/>
      </w:r>
    </w:p>
    <w:p>
      <w:pPr>
        <w:spacing w:after="80" w:before="80"/>
      </w:pPr>
      <w:r>
        <w:rPr>
          <w:rFonts w:ascii="Arial" w:cs="Arial" w:eastAsia="Arial" w:hAnsi="Arial"/>
          <w:b w:val="false"/>
          <w:bCs w:val="false"/>
          <w:sz w:val="20"/>
          <w:szCs w:val="20"/>
        </w:rPr>
        <w:t xml:space="preserve">5.2.2 Klasifikasi dan Penempatan Data</w:t>
      </w:r>
    </w:p>
    <w:p>
      <w:pPr>
        <w:pStyle w:val="ListParagraph"/>
        <w:numPr>
          <w:ilvl w:val="0"/>
          <w:numId w:val="2"/>
        </w:numPr>
        <w:spacing w:after="60" w:before="60"/>
      </w:pPr>
      <w:r>
        <w:rPr>
          <w:rFonts w:ascii="Arial" w:cs="Arial" w:eastAsia="Arial" w:hAnsi="Arial"/>
          <w:sz w:val="20"/>
          <w:szCs w:val="20"/>
        </w:rPr>
        <w:t xml:space="preserve">Data yang ditempatkan di cloud harus diklasifikasikan terlebih dahulu sesuai kebijakan klasifikasi data</w:t>
      </w:r>
    </w:p>
    <w:p>
      <w:pPr>
        <w:pStyle w:val="ListParagraph"/>
        <w:numPr>
          <w:ilvl w:val="0"/>
          <w:numId w:val="2"/>
        </w:numPr>
        <w:spacing w:after="60" w:before="60"/>
      </w:pPr>
      <w:r>
        <w:rPr>
          <w:rFonts w:ascii="Arial" w:cs="Arial" w:eastAsia="Arial" w:hAnsi="Arial"/>
          <w:sz w:val="20"/>
          <w:szCs w:val="20"/>
        </w:rPr>
        <w:t xml:space="preserve">Data dengan klasifikasi 'Sangat Rahasia' (Top Secret) DILARANG ditempatkan di public cloud</w:t>
      </w:r>
    </w:p>
    <w:p>
      <w:pPr>
        <w:pStyle w:val="ListParagraph"/>
        <w:numPr>
          <w:ilvl w:val="0"/>
          <w:numId w:val="2"/>
        </w:numPr>
        <w:spacing w:after="60" w:before="60"/>
      </w:pPr>
      <w:r>
        <w:rPr>
          <w:rFonts w:ascii="Arial" w:cs="Arial" w:eastAsia="Arial" w:hAnsi="Arial"/>
          <w:sz w:val="20"/>
          <w:szCs w:val="20"/>
        </w:rPr>
        <w:t xml:space="preserve">Data pribadi (PII) di cloud harus sesuai dengan ketentuan UU PDP</w:t>
      </w:r>
    </w:p>
    <w:p>
      <w:pPr>
        <w:pStyle w:val="ListParagraph"/>
        <w:numPr>
          <w:ilvl w:val="0"/>
          <w:numId w:val="2"/>
        </w:numPr>
        <w:spacing w:after="60" w:before="60"/>
      </w:pPr>
      <w:r>
        <w:rPr>
          <w:rFonts w:ascii="Arial" w:cs="Arial" w:eastAsia="Arial" w:hAnsi="Arial"/>
          <w:sz w:val="20"/>
          <w:szCs w:val="20"/>
        </w:rPr>
        <w:t xml:space="preserve">Persyaratan data residency harus dipenuhi sesuai regulasi yang berlaku</w:t>
      </w:r>
    </w:p>
    <w:p>
      <w:pPr>
        <w:spacing w:after="60" w:before="60"/>
      </w:pPr>
      <w:r>
        <w:t xml:space="preserve"/>
      </w:r>
    </w:p>
    <w:p>
      <w:pPr>
        <w:spacing w:after="80" w:before="80"/>
      </w:pPr>
      <w:r>
        <w:rPr>
          <w:rFonts w:ascii="Arial" w:cs="Arial" w:eastAsia="Arial" w:hAnsi="Arial"/>
          <w:b w:val="false"/>
          <w:bCs w:val="false"/>
          <w:sz w:val="20"/>
          <w:szCs w:val="20"/>
        </w:rPr>
        <w:t xml:space="preserve">5.2.3 Kontrol Akses</w:t>
      </w:r>
    </w:p>
    <w:p>
      <w:pPr>
        <w:pStyle w:val="ListParagraph"/>
        <w:numPr>
          <w:ilvl w:val="0"/>
          <w:numId w:val="2"/>
        </w:numPr>
        <w:spacing w:after="60" w:before="60"/>
      </w:pPr>
      <w:r>
        <w:rPr>
          <w:rFonts w:ascii="Arial" w:cs="Arial" w:eastAsia="Arial" w:hAnsi="Arial"/>
          <w:sz w:val="20"/>
          <w:szCs w:val="20"/>
        </w:rPr>
        <w:t xml:space="preserve">Akses ke layanan cloud harus menggunakan Multi-Factor Authentication (MFA)</w:t>
      </w:r>
    </w:p>
    <w:p>
      <w:pPr>
        <w:pStyle w:val="ListParagraph"/>
        <w:numPr>
          <w:ilvl w:val="0"/>
          <w:numId w:val="2"/>
        </w:numPr>
        <w:spacing w:after="60" w:before="60"/>
      </w:pPr>
      <w:r>
        <w:rPr>
          <w:rFonts w:ascii="Arial" w:cs="Arial" w:eastAsia="Arial" w:hAnsi="Arial"/>
          <w:sz w:val="20"/>
          <w:szCs w:val="20"/>
        </w:rPr>
        <w:t xml:space="preserve">Penerapan prinsip Least Privilege Access pada semua akun cloud</w:t>
      </w:r>
    </w:p>
    <w:p>
      <w:pPr>
        <w:pStyle w:val="ListParagraph"/>
        <w:numPr>
          <w:ilvl w:val="0"/>
          <w:numId w:val="2"/>
        </w:numPr>
        <w:spacing w:after="60" w:before="60"/>
      </w:pPr>
      <w:r>
        <w:rPr>
          <w:rFonts w:ascii="Arial" w:cs="Arial" w:eastAsia="Arial" w:hAnsi="Arial"/>
          <w:sz w:val="20"/>
          <w:szCs w:val="20"/>
        </w:rPr>
        <w:t xml:space="preserve">Privileged Access Management (PAM) wajib diterapkan untuk akun administrator</w:t>
      </w:r>
    </w:p>
    <w:p>
      <w:pPr>
        <w:pStyle w:val="ListParagraph"/>
        <w:numPr>
          <w:ilvl w:val="0"/>
          <w:numId w:val="2"/>
        </w:numPr>
        <w:spacing w:after="60" w:before="60"/>
      </w:pPr>
      <w:r>
        <w:rPr>
          <w:rFonts w:ascii="Arial" w:cs="Arial" w:eastAsia="Arial" w:hAnsi="Arial"/>
          <w:sz w:val="20"/>
          <w:szCs w:val="20"/>
        </w:rPr>
        <w:t xml:space="preserve">Review akses cloud dilakukan minimal setiap 6 (enam) bulan</w:t>
      </w:r>
    </w:p>
    <w:p>
      <w:pPr>
        <w:spacing w:after="60" w:before="60"/>
      </w:pPr>
      <w:r>
        <w:t xml:space="preserve"/>
      </w:r>
    </w:p>
    <w:p>
      <w:pPr>
        <w:spacing w:after="80" w:before="80"/>
      </w:pPr>
      <w:r>
        <w:rPr>
          <w:rFonts w:ascii="Arial" w:cs="Arial" w:eastAsia="Arial" w:hAnsi="Arial"/>
          <w:b w:val="false"/>
          <w:bCs w:val="false"/>
          <w:sz w:val="20"/>
          <w:szCs w:val="20"/>
        </w:rPr>
        <w:t xml:space="preserve">5.2.4 Enkripsi dan Perlindungan Data</w:t>
      </w:r>
    </w:p>
    <w:p>
      <w:pPr>
        <w:pStyle w:val="ListParagraph"/>
        <w:numPr>
          <w:ilvl w:val="0"/>
          <w:numId w:val="2"/>
        </w:numPr>
        <w:spacing w:after="60" w:before="60"/>
      </w:pPr>
      <w:r>
        <w:rPr>
          <w:rFonts w:ascii="Arial" w:cs="Arial" w:eastAsia="Arial" w:hAnsi="Arial"/>
          <w:sz w:val="20"/>
          <w:szCs w:val="20"/>
        </w:rPr>
        <w:t xml:space="preserve">Data sensitif wajib dienkripsi saat transit (TLS 1.2+) dan saat diam (AES-256)</w:t>
      </w:r>
    </w:p>
    <w:p>
      <w:pPr>
        <w:pStyle w:val="ListParagraph"/>
        <w:numPr>
          <w:ilvl w:val="0"/>
          <w:numId w:val="2"/>
        </w:numPr>
        <w:spacing w:after="60" w:before="60"/>
      </w:pPr>
      <w:r>
        <w:rPr>
          <w:rFonts w:ascii="Arial" w:cs="Arial" w:eastAsia="Arial" w:hAnsi="Arial"/>
          <w:sz w:val="20"/>
          <w:szCs w:val="20"/>
        </w:rPr>
        <w:t xml:space="preserve">Manajemen kunci enkripsi dilakukan oleh organisasi atau melalui BYOK (Bring Your Own Key)</w:t>
      </w:r>
    </w:p>
    <w:p>
      <w:pPr>
        <w:pStyle w:val="ListParagraph"/>
        <w:numPr>
          <w:ilvl w:val="0"/>
          <w:numId w:val="2"/>
        </w:numPr>
        <w:spacing w:after="60" w:before="60"/>
      </w:pPr>
      <w:r>
        <w:rPr>
          <w:rFonts w:ascii="Arial" w:cs="Arial" w:eastAsia="Arial" w:hAnsi="Arial"/>
          <w:sz w:val="20"/>
          <w:szCs w:val="20"/>
        </w:rPr>
        <w:t xml:space="preserve">Backup data cloud dilakukan secara berkala dan diuji pemulihannya</w:t>
      </w:r>
    </w:p>
    <w:p>
      <w:pPr>
        <w:spacing w:after="60" w:before="60"/>
      </w:pPr>
      <w:r>
        <w:t xml:space="preserve"/>
      </w:r>
    </w:p>
    <w:p>
      <w:pPr>
        <w:spacing w:after="80" w:before="80"/>
      </w:pPr>
      <w:r>
        <w:rPr>
          <w:rFonts w:ascii="Arial" w:cs="Arial" w:eastAsia="Arial" w:hAnsi="Arial"/>
          <w:b w:val="false"/>
          <w:bCs w:val="false"/>
          <w:sz w:val="20"/>
          <w:szCs w:val="20"/>
        </w:rPr>
        <w:t xml:space="preserve">5.2.5 Monitoring dan Logging</w:t>
      </w:r>
    </w:p>
    <w:p>
      <w:pPr>
        <w:pStyle w:val="ListParagraph"/>
        <w:numPr>
          <w:ilvl w:val="0"/>
          <w:numId w:val="2"/>
        </w:numPr>
        <w:spacing w:after="60" w:before="60"/>
      </w:pPr>
      <w:r>
        <w:rPr>
          <w:rFonts w:ascii="Arial" w:cs="Arial" w:eastAsia="Arial" w:hAnsi="Arial"/>
          <w:sz w:val="20"/>
          <w:szCs w:val="20"/>
        </w:rPr>
        <w:t xml:space="preserve">Semua aktivitas pada layanan cloud harus dicatat dalam log</w:t>
      </w:r>
    </w:p>
    <w:p>
      <w:pPr>
        <w:pStyle w:val="ListParagraph"/>
        <w:numPr>
          <w:ilvl w:val="0"/>
          <w:numId w:val="2"/>
        </w:numPr>
        <w:spacing w:after="60" w:before="60"/>
      </w:pPr>
      <w:r>
        <w:rPr>
          <w:rFonts w:ascii="Arial" w:cs="Arial" w:eastAsia="Arial" w:hAnsi="Arial"/>
          <w:sz w:val="20"/>
          <w:szCs w:val="20"/>
        </w:rPr>
        <w:t xml:space="preserve">Log keamanan cloud disimpan minimal selama 1 (satu) tahun</w:t>
      </w:r>
    </w:p>
    <w:p>
      <w:pPr>
        <w:pStyle w:val="ListParagraph"/>
        <w:numPr>
          <w:ilvl w:val="0"/>
          <w:numId w:val="2"/>
        </w:numPr>
        <w:spacing w:after="60" w:before="60"/>
      </w:pPr>
      <w:r>
        <w:rPr>
          <w:rFonts w:ascii="Arial" w:cs="Arial" w:eastAsia="Arial" w:hAnsi="Arial"/>
          <w:sz w:val="20"/>
          <w:szCs w:val="20"/>
        </w:rPr>
        <w:t xml:space="preserve">Sistem monitoring real-time diterapkan untuk mendeteksi anomali dan insiden</w:t>
      </w:r>
    </w:p>
    <w:p>
      <w:pPr>
        <w:pStyle w:val="ListParagraph"/>
        <w:numPr>
          <w:ilvl w:val="0"/>
          <w:numId w:val="2"/>
        </w:numPr>
        <w:spacing w:after="60" w:before="60"/>
      </w:pPr>
      <w:r>
        <w:rPr>
          <w:rFonts w:ascii="Arial" w:cs="Arial" w:eastAsia="Arial" w:hAnsi="Arial"/>
          <w:sz w:val="20"/>
          <w:szCs w:val="20"/>
        </w:rPr>
        <w:t xml:space="preserve">Integrasi dengan Security Information and Event Management (SIEM) organisasi</w:t>
      </w:r>
    </w:p>
    <w:p>
      <w:pPr>
        <w:pStyle w:val="Heading2"/>
        <w:spacing w:after="120" w:before="240"/>
      </w:pPr>
      <w:r>
        <w:rPr>
          <w:rFonts w:ascii="Arial" w:cs="Arial" w:eastAsia="Arial" w:hAnsi="Arial"/>
          <w:b/>
          <w:bCs/>
          <w:color w:val="2E5DA3"/>
          <w:sz w:val="24"/>
          <w:szCs w:val="24"/>
        </w:rPr>
        <w:t xml:space="preserve">5.3 Tanggung Jawab (Shared Responsibility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ASPEK KEAMANAN</w:t>
            </w:r>
          </w:p>
        </w:tc>
        <w:tc>
          <w:tcPr>
            <w:tcW w:type="dxa" w:w="318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TANGGUNG JAWAB ORGANISASI</w:t>
            </w:r>
          </w:p>
        </w:tc>
        <w:tc>
          <w:tcPr>
            <w:tcW w:type="dxa" w:w="318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TANGGUNG JAWAB CSP</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Data &amp; Konten</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Penuh</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Tidak ada</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Manajemen Identitas &amp; Akses</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Penuh</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Infrastruktur IAM</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Konfigurasi Aplikasi</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Penuh (SaaS: sebagian)</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SaaS: Penuh</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Keamanan Jaringan (VPC)</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Konfigurasi</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Infrastruktur fisik</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Enkripsi Data</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Manajemen kunci</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Platform enkripsi</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Keamanan Fisik</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Tidak ada</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Penuh</w:t>
            </w:r>
          </w:p>
        </w:tc>
      </w:tr>
      <w:tr>
        <w:tc>
          <w:tcPr>
            <w:tcW w:type="dxa" w:w="30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Ketersediaan Infrastruktur</w:t>
            </w:r>
          </w:p>
        </w:tc>
        <w:tc>
          <w:tcPr>
            <w:tcW w:type="dxa" w:w="318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Monitoring</w:t>
            </w:r>
          </w:p>
        </w:tc>
        <w:tc>
          <w:tcPr>
            <w:tcW w:type="dxa" w:w="318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SLA &amp; operasional</w:t>
            </w:r>
          </w:p>
        </w:tc>
      </w:tr>
    </w:tbl>
    <w:p>
      <w:pPr>
        <w:pStyle w:val="Heading1"/>
        <w:spacing w:after="160" w:before="320"/>
      </w:pPr>
      <w:r>
        <w:rPr>
          <w:rFonts w:ascii="Arial" w:cs="Arial" w:eastAsia="Arial" w:hAnsi="Arial"/>
          <w:b/>
          <w:bCs/>
          <w:color w:val="1F3864"/>
          <w:sz w:val="28"/>
          <w:szCs w:val="28"/>
        </w:rPr>
        <w:t xml:space="preserve">6. PERAN DAN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PERAN</w:t>
            </w:r>
          </w:p>
        </w:tc>
        <w:tc>
          <w:tcPr>
            <w:tcW w:type="dxa" w:w="656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TANGGUNG JAWAB</w:t>
            </w:r>
          </w:p>
        </w:tc>
      </w:tr>
      <w:tr>
        <w:tc>
          <w:tcPr>
            <w:tcW w:type="dxa" w:w="28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CISO</w:t>
            </w:r>
          </w:p>
        </w:tc>
        <w:tc>
          <w:tcPr>
            <w:tcW w:type="dxa" w:w="65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Bertanggung jawab atas kebijakan ini; menyetujui penggunaan CSP baru; oversight keamanan cloud secara keseluruhan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IT Security Team</w:t>
            </w:r>
          </w:p>
        </w:tc>
        <w:tc>
          <w:tcPr>
            <w:tcW w:type="dxa" w:w="65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Melakukan Cloud Security Assessment; monitoring keamanan cloud; mengelola insiden terkait cloud</w:t>
            </w:r>
          </w:p>
        </w:tc>
      </w:tr>
      <w:tr>
        <w:tc>
          <w:tcPr>
            <w:tcW w:type="dxa" w:w="28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IT Infrastructure Team</w:t>
            </w:r>
          </w:p>
        </w:tc>
        <w:tc>
          <w:tcPr>
            <w:tcW w:type="dxa" w:w="65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Pengelolaan teknis layanan cloud; konfigurasi keamanan; backup dan pemulihan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Business Unit Owner</w:t>
            </w:r>
          </w:p>
        </w:tc>
        <w:tc>
          <w:tcPr>
            <w:tcW w:type="dxa" w:w="65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Mengajukan kebutuhan layanan cloud; memastikan penggunaan sesuai kebijakan; pelaporan insiden</w:t>
            </w:r>
          </w:p>
        </w:tc>
      </w:tr>
      <w:tr>
        <w:tc>
          <w:tcPr>
            <w:tcW w:type="dxa" w:w="28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Data Protection Officer</w:t>
            </w:r>
          </w:p>
        </w:tc>
        <w:tc>
          <w:tcPr>
            <w:tcW w:type="dxa" w:w="65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Memastikan kepatuhan perlindungan data pribadi di cloud; DPIA untuk layanan cloud baru</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bCs/>
                <w:sz w:val="19"/>
                <w:szCs w:val="19"/>
              </w:rPr>
              <w:t xml:space="preserve">Legal &amp; Compliance</w:t>
            </w:r>
          </w:p>
        </w:tc>
        <w:tc>
          <w:tcPr>
            <w:tcW w:type="dxa" w:w="656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Review kontrak dengan CSP; memastikan kepatuhan regulasi</w:t>
            </w:r>
          </w:p>
        </w:tc>
      </w:tr>
      <w:tr>
        <w:tc>
          <w:tcPr>
            <w:tcW w:type="dxa" w:w="280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bCs/>
                <w:sz w:val="19"/>
                <w:szCs w:val="19"/>
              </w:rPr>
              <w:t xml:space="preserve">Internal Audit</w:t>
            </w:r>
          </w:p>
        </w:tc>
        <w:tc>
          <w:tcPr>
            <w:tcW w:type="dxa" w:w="656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Melakukan audit kepatuhan penggunaan layanan cloud secara berkala</w:t>
            </w:r>
          </w:p>
        </w:tc>
      </w:tr>
    </w:tbl>
    <w:p>
      <w:pPr>
        <w:pStyle w:val="Heading1"/>
        <w:spacing w:after="160" w:before="320"/>
      </w:pPr>
      <w:r>
        <w:rPr>
          <w:rFonts w:ascii="Arial" w:cs="Arial" w:eastAsia="Arial" w:hAnsi="Arial"/>
          <w:b/>
          <w:bCs/>
          <w:color w:val="1F3864"/>
          <w:sz w:val="28"/>
          <w:szCs w:val="28"/>
        </w:rPr>
        <w:t xml:space="preserve">7. PELANGGARAN KEBIJAKAN</w:t>
      </w:r>
    </w:p>
    <w:p>
      <w:pPr>
        <w:spacing w:after="80" w:before="80"/>
      </w:pPr>
      <w:r>
        <w:rPr>
          <w:rFonts w:ascii="Arial" w:cs="Arial" w:eastAsia="Arial" w:hAnsi="Arial"/>
          <w:b w:val="false"/>
          <w:bCs w:val="false"/>
          <w:sz w:val="20"/>
          <w:szCs w:val="20"/>
        </w:rPr>
        <w:t xml:space="preserve">Pelanggaran terhadap kebijakan ini dapat mengakibatkan:</w:t>
      </w:r>
    </w:p>
    <w:p>
      <w:pPr>
        <w:pStyle w:val="ListParagraph"/>
        <w:numPr>
          <w:ilvl w:val="0"/>
          <w:numId w:val="2"/>
        </w:numPr>
        <w:spacing w:after="60" w:before="60"/>
      </w:pPr>
      <w:r>
        <w:rPr>
          <w:rFonts w:ascii="Arial" w:cs="Arial" w:eastAsia="Arial" w:hAnsi="Arial"/>
          <w:sz w:val="20"/>
          <w:szCs w:val="20"/>
        </w:rPr>
        <w:t xml:space="preserve">Tindakan disipliner sesuai peraturan kepegawaian yang berlaku</w:t>
      </w:r>
    </w:p>
    <w:p>
      <w:pPr>
        <w:pStyle w:val="ListParagraph"/>
        <w:numPr>
          <w:ilvl w:val="0"/>
          <w:numId w:val="2"/>
        </w:numPr>
        <w:spacing w:after="60" w:before="60"/>
      </w:pPr>
      <w:r>
        <w:rPr>
          <w:rFonts w:ascii="Arial" w:cs="Arial" w:eastAsia="Arial" w:hAnsi="Arial"/>
          <w:sz w:val="20"/>
          <w:szCs w:val="20"/>
        </w:rPr>
        <w:t xml:space="preserve">Penangguhan atau pencabutan hak akses ke layanan cloud</w:t>
      </w:r>
    </w:p>
    <w:p>
      <w:pPr>
        <w:pStyle w:val="ListParagraph"/>
        <w:numPr>
          <w:ilvl w:val="0"/>
          <w:numId w:val="2"/>
        </w:numPr>
        <w:spacing w:after="60" w:before="60"/>
      </w:pPr>
      <w:r>
        <w:rPr>
          <w:rFonts w:ascii="Arial" w:cs="Arial" w:eastAsia="Arial" w:hAnsi="Arial"/>
          <w:sz w:val="20"/>
          <w:szCs w:val="20"/>
        </w:rPr>
        <w:t xml:space="preserve">Pelaporan kepada pihak berwenang jika melibatkan pelanggaran hukum</w:t>
      </w:r>
    </w:p>
    <w:p>
      <w:pPr>
        <w:pStyle w:val="ListParagraph"/>
        <w:numPr>
          <w:ilvl w:val="0"/>
          <w:numId w:val="2"/>
        </w:numPr>
        <w:spacing w:after="60" w:before="60"/>
      </w:pPr>
      <w:r>
        <w:rPr>
          <w:rFonts w:ascii="Arial" w:cs="Arial" w:eastAsia="Arial" w:hAnsi="Arial"/>
          <w:sz w:val="20"/>
          <w:szCs w:val="20"/>
        </w:rPr>
        <w:t xml:space="preserve">Tanggung jawab hukum pribadi atas pelanggaran yang disengaja</w:t>
      </w:r>
    </w:p>
    <w:p>
      <w:pPr>
        <w:pStyle w:val="Heading1"/>
        <w:spacing w:after="160" w:before="320"/>
      </w:pPr>
      <w:r>
        <w:rPr>
          <w:rFonts w:ascii="Arial" w:cs="Arial" w:eastAsia="Arial" w:hAnsi="Arial"/>
          <w:b/>
          <w:bCs/>
          <w:color w:val="1F3864"/>
          <w:sz w:val="28"/>
          <w:szCs w:val="28"/>
        </w:rPr>
        <w:t xml:space="preserve">8. PENGECUALIAN</w:t>
      </w:r>
    </w:p>
    <w:p>
      <w:pPr>
        <w:spacing w:after="80" w:before="80"/>
      </w:pPr>
      <w:r>
        <w:rPr>
          <w:rFonts w:ascii="Arial" w:cs="Arial" w:eastAsia="Arial" w:hAnsi="Arial"/>
          <w:b w:val="false"/>
          <w:bCs w:val="false"/>
          <w:sz w:val="20"/>
          <w:szCs w:val="20"/>
        </w:rPr>
        <w:t xml:space="preserve">Pengecualian terhadap kebijakan ini hanya dapat diberikan melalui proses formal yang meliputi:</w:t>
      </w:r>
    </w:p>
    <w:p>
      <w:pPr>
        <w:pStyle w:val="ListParagraph"/>
        <w:numPr>
          <w:ilvl w:val="0"/>
          <w:numId w:val="3"/>
        </w:numPr>
        <w:spacing w:after="60" w:before="60"/>
      </w:pPr>
      <w:r>
        <w:rPr>
          <w:rFonts w:ascii="Arial" w:cs="Arial" w:eastAsia="Arial" w:hAnsi="Arial"/>
          <w:sz w:val="20"/>
          <w:szCs w:val="20"/>
        </w:rPr>
        <w:t xml:space="preserve">Pengajuan permohonan pengecualian secara tertulis kepada CISO</w:t>
      </w:r>
    </w:p>
    <w:p>
      <w:pPr>
        <w:pStyle w:val="ListParagraph"/>
        <w:numPr>
          <w:ilvl w:val="0"/>
          <w:numId w:val="3"/>
        </w:numPr>
        <w:spacing w:after="60" w:before="60"/>
      </w:pPr>
      <w:r>
        <w:rPr>
          <w:rFonts w:ascii="Arial" w:cs="Arial" w:eastAsia="Arial" w:hAnsi="Arial"/>
          <w:sz w:val="20"/>
          <w:szCs w:val="20"/>
        </w:rPr>
        <w:t xml:space="preserve">Penilaian risiko atas pengecualian yang diajukan</w:t>
      </w:r>
    </w:p>
    <w:p>
      <w:pPr>
        <w:pStyle w:val="ListParagraph"/>
        <w:numPr>
          <w:ilvl w:val="0"/>
          <w:numId w:val="3"/>
        </w:numPr>
        <w:spacing w:after="60" w:before="60"/>
      </w:pPr>
      <w:r>
        <w:rPr>
          <w:rFonts w:ascii="Arial" w:cs="Arial" w:eastAsia="Arial" w:hAnsi="Arial"/>
          <w:sz w:val="20"/>
          <w:szCs w:val="20"/>
        </w:rPr>
        <w:t xml:space="preserve">Persetujuan CISO dan dokumentasi dalam Risk Acceptance Form</w:t>
      </w:r>
    </w:p>
    <w:p>
      <w:pPr>
        <w:pStyle w:val="ListParagraph"/>
        <w:numPr>
          <w:ilvl w:val="0"/>
          <w:numId w:val="3"/>
        </w:numPr>
        <w:spacing w:after="60" w:before="60"/>
      </w:pPr>
      <w:r>
        <w:rPr>
          <w:rFonts w:ascii="Arial" w:cs="Arial" w:eastAsia="Arial" w:hAnsi="Arial"/>
          <w:sz w:val="20"/>
          <w:szCs w:val="20"/>
        </w:rPr>
        <w:t xml:space="preserve">Review berkala terhadap pengecualian yang diberikan</w:t>
      </w:r>
    </w:p>
    <w:p>
      <w:pPr>
        <w:pStyle w:val="Heading1"/>
        <w:spacing w:after="160" w:before="320"/>
      </w:pPr>
      <w:r>
        <w:rPr>
          <w:rFonts w:ascii="Arial" w:cs="Arial" w:eastAsia="Arial" w:hAnsi="Arial"/>
          <w:b/>
          <w:bCs/>
          <w:color w:val="1F3864"/>
          <w:sz w:val="28"/>
          <w:szCs w:val="28"/>
        </w:rPr>
        <w:t xml:space="preserve">9. REVIEW DAN PEMBARUAN</w:t>
      </w:r>
    </w:p>
    <w:p>
      <w:pPr>
        <w:spacing w:after="80" w:before="80"/>
      </w:pPr>
      <w:r>
        <w:rPr>
          <w:rFonts w:ascii="Arial" w:cs="Arial" w:eastAsia="Arial" w:hAnsi="Arial"/>
          <w:b w:val="false"/>
          <w:bCs w:val="false"/>
          <w:sz w:val="20"/>
          <w:szCs w:val="20"/>
        </w:rPr>
        <w:t xml:space="preserve">Kebijakan ini akan direview:</w:t>
      </w:r>
    </w:p>
    <w:p>
      <w:pPr>
        <w:pStyle w:val="ListParagraph"/>
        <w:numPr>
          <w:ilvl w:val="0"/>
          <w:numId w:val="2"/>
        </w:numPr>
        <w:spacing w:after="60" w:before="60"/>
      </w:pPr>
      <w:r>
        <w:rPr>
          <w:rFonts w:ascii="Arial" w:cs="Arial" w:eastAsia="Arial" w:hAnsi="Arial"/>
          <w:sz w:val="20"/>
          <w:szCs w:val="20"/>
        </w:rPr>
        <w:t xml:space="preserve">Secara berkala setiap 1 (satu) tahun</w:t>
      </w:r>
    </w:p>
    <w:p>
      <w:pPr>
        <w:pStyle w:val="ListParagraph"/>
        <w:numPr>
          <w:ilvl w:val="0"/>
          <w:numId w:val="2"/>
        </w:numPr>
        <w:spacing w:after="60" w:before="60"/>
      </w:pPr>
      <w:r>
        <w:rPr>
          <w:rFonts w:ascii="Arial" w:cs="Arial" w:eastAsia="Arial" w:hAnsi="Arial"/>
          <w:sz w:val="20"/>
          <w:szCs w:val="20"/>
        </w:rPr>
        <w:t xml:space="preserve">Setelah terjadi insiden keamanan signifikan terkait layanan cloud</w:t>
      </w:r>
    </w:p>
    <w:p>
      <w:pPr>
        <w:pStyle w:val="ListParagraph"/>
        <w:numPr>
          <w:ilvl w:val="0"/>
          <w:numId w:val="2"/>
        </w:numPr>
        <w:spacing w:after="60" w:before="60"/>
      </w:pPr>
      <w:r>
        <w:rPr>
          <w:rFonts w:ascii="Arial" w:cs="Arial" w:eastAsia="Arial" w:hAnsi="Arial"/>
          <w:sz w:val="20"/>
          <w:szCs w:val="20"/>
        </w:rPr>
        <w:t xml:space="preserve">Bila ada perubahan regulasi yang relevan</w:t>
      </w:r>
    </w:p>
    <w:p>
      <w:pPr>
        <w:pStyle w:val="ListParagraph"/>
        <w:numPr>
          <w:ilvl w:val="0"/>
          <w:numId w:val="2"/>
        </w:numPr>
        <w:spacing w:after="60" w:before="60"/>
      </w:pPr>
      <w:r>
        <w:rPr>
          <w:rFonts w:ascii="Arial" w:cs="Arial" w:eastAsia="Arial" w:hAnsi="Arial"/>
          <w:sz w:val="20"/>
          <w:szCs w:val="20"/>
        </w:rPr>
        <w:t xml:space="preserve">Bila ada perubahan signifikan pada lingkungan cloud organisasi</w:t>
      </w:r>
    </w:p>
    <w:p>
      <w:pPr>
        <w:pStyle w:val="Heading1"/>
        <w:spacing w:after="160" w:before="320"/>
      </w:pPr>
      <w:r>
        <w:rPr>
          <w:rFonts w:ascii="Arial" w:cs="Arial" w:eastAsia="Arial" w:hAnsi="Arial"/>
          <w:b/>
          <w:bCs/>
          <w:color w:val="1F3864"/>
          <w:sz w:val="28"/>
          <w:szCs w:val="28"/>
        </w:rPr>
        <w:t xml:space="preserve">10. DOKUMEN TERKAIT</w:t>
      </w:r>
    </w:p>
    <w:p>
      <w:pPr>
        <w:pStyle w:val="ListParagraph"/>
        <w:numPr>
          <w:ilvl w:val="0"/>
          <w:numId w:val="2"/>
        </w:numPr>
        <w:spacing w:after="60" w:before="60"/>
      </w:pPr>
      <w:r>
        <w:rPr>
          <w:rFonts w:ascii="Arial" w:cs="Arial" w:eastAsia="Arial" w:hAnsi="Arial"/>
          <w:sz w:val="20"/>
          <w:szCs w:val="20"/>
        </w:rPr>
        <w:t xml:space="preserve">PRO-ISMS-CS-001 – Prosedur Manajemen Keamanan Layanan Cloud</w:t>
      </w:r>
    </w:p>
    <w:p>
      <w:pPr>
        <w:pStyle w:val="ListParagraph"/>
        <w:numPr>
          <w:ilvl w:val="0"/>
          <w:numId w:val="2"/>
        </w:numPr>
        <w:spacing w:after="60" w:before="60"/>
      </w:pPr>
      <w:r>
        <w:rPr>
          <w:rFonts w:ascii="Arial" w:cs="Arial" w:eastAsia="Arial" w:hAnsi="Arial"/>
          <w:sz w:val="20"/>
          <w:szCs w:val="20"/>
        </w:rPr>
        <w:t xml:space="preserve">PRO-ISMS-CS-002 – Prosedur Cloud Security Assessment</w:t>
      </w:r>
    </w:p>
    <w:p>
      <w:pPr>
        <w:pStyle w:val="ListParagraph"/>
        <w:numPr>
          <w:ilvl w:val="0"/>
          <w:numId w:val="2"/>
        </w:numPr>
        <w:spacing w:after="60" w:before="60"/>
      </w:pPr>
      <w:r>
        <w:rPr>
          <w:rFonts w:ascii="Arial" w:cs="Arial" w:eastAsia="Arial" w:hAnsi="Arial"/>
          <w:sz w:val="20"/>
          <w:szCs w:val="20"/>
        </w:rPr>
        <w:t xml:space="preserve">POL-ISMS-DC-001 – Kebijakan Klasifikasi dan Penanganan Data</w:t>
      </w:r>
    </w:p>
    <w:p>
      <w:pPr>
        <w:pStyle w:val="ListParagraph"/>
        <w:numPr>
          <w:ilvl w:val="0"/>
          <w:numId w:val="2"/>
        </w:numPr>
        <w:spacing w:after="60" w:before="60"/>
      </w:pPr>
      <w:r>
        <w:rPr>
          <w:rFonts w:ascii="Arial" w:cs="Arial" w:eastAsia="Arial" w:hAnsi="Arial"/>
          <w:sz w:val="20"/>
          <w:szCs w:val="20"/>
        </w:rPr>
        <w:t xml:space="preserve">POL-ISMS-IA-001 – Kebijakan Manajemen Identitas dan Akses</w:t>
      </w:r>
    </w:p>
    <w:p>
      <w:pPr>
        <w:pStyle w:val="ListParagraph"/>
        <w:numPr>
          <w:ilvl w:val="0"/>
          <w:numId w:val="2"/>
        </w:numPr>
        <w:spacing w:after="60" w:before="60"/>
      </w:pPr>
      <w:r>
        <w:rPr>
          <w:rFonts w:ascii="Arial" w:cs="Arial" w:eastAsia="Arial" w:hAnsi="Arial"/>
          <w:sz w:val="20"/>
          <w:szCs w:val="20"/>
        </w:rPr>
        <w:t xml:space="preserve">POL-ISMS-IR-001 – Kebijakan Manajemen Insiden Keamanan</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11. PENGESAHAN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DIBUAT OLEH</w:t>
            </w:r>
          </w:p>
        </w:tc>
        <w:tc>
          <w:tcPr>
            <w:tcW w:type="dxa" w:w="312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DIPERIKSA OLEH</w:t>
            </w:r>
          </w:p>
        </w:tc>
        <w:tc>
          <w:tcPr>
            <w:tcW w:type="dxa" w:w="3120"/>
            <w:tcBorders>
              <w:top w:val="single" w:color="B8CCE4" w:sz="1"/>
              <w:left w:val="single" w:color="B8CCE4" w:sz="1"/>
              <w:bottom w:val="single" w:color="B8CCE4" w:sz="1"/>
              <w:right w:val="single" w:color="B8CCE4"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DISETUJUI OLEH</w:t>
            </w:r>
          </w:p>
        </w:tc>
      </w:tr>
      <w:tr>
        <w:tc>
          <w:tcPr>
            <w:tcW w:type="dxa" w:w="312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IT Security Team</w:t>
            </w:r>
          </w:p>
        </w:tc>
        <w:tc>
          <w:tcPr>
            <w:tcW w:type="dxa" w:w="312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CISO</w:t>
            </w:r>
          </w:p>
        </w:tc>
        <w:tc>
          <w:tcPr>
            <w:tcW w:type="dxa" w:w="312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pPr>
              <w:jc w:val="left"/>
            </w:pPr>
            <w:r>
              <w:rPr>
                <w:rFonts w:ascii="Arial" w:cs="Arial" w:eastAsia="Arial" w:hAnsi="Arial"/>
                <w:b w:val="false"/>
                <w:bCs w:val="false"/>
                <w:sz w:val="19"/>
                <w:szCs w:val="19"/>
              </w:rPr>
              <w:t xml:space="preserve">Direktur Utama</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r>
              <w:rPr>
                <w:rFonts w:ascii="Arial" w:cs="Arial" w:eastAsia="Arial" w:hAnsi="Arial"/>
                <w:color w:val="666666"/>
                <w:sz w:val="19"/>
                <w:szCs w:val="19"/>
              </w:rPr>
              <w:t xml:space="preserve">Tanda tangan: ___________</w:t>
            </w:r>
          </w:p>
        </w:tc>
        <w:tc>
          <w:tcPr>
            <w:tcW w:type="dxa" w:w="312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r>
              <w:rPr>
                <w:rFonts w:ascii="Arial" w:cs="Arial" w:eastAsia="Arial" w:hAnsi="Arial"/>
                <w:color w:val="666666"/>
                <w:sz w:val="19"/>
                <w:szCs w:val="19"/>
              </w:rPr>
              <w:t xml:space="preserve">Tanda tangan: ___________</w:t>
            </w:r>
          </w:p>
        </w:tc>
        <w:tc>
          <w:tcPr>
            <w:tcW w:type="dxa" w:w="312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r>
              <w:rPr>
                <w:rFonts w:ascii="Arial" w:cs="Arial" w:eastAsia="Arial" w:hAnsi="Arial"/>
                <w:color w:val="666666"/>
                <w:sz w:val="19"/>
                <w:szCs w:val="19"/>
              </w:rPr>
              <w:t xml:space="preserve">Tanda tangan: ___________</w:t>
            </w:r>
          </w:p>
        </w:tc>
      </w:tr>
      <w:tr>
        <w:tc>
          <w:tcPr>
            <w:tcW w:type="dxa" w:w="312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r>
              <w:rPr>
                <w:rFonts w:ascii="Arial" w:cs="Arial" w:eastAsia="Arial" w:hAnsi="Arial"/>
                <w:color w:val="666666"/>
                <w:sz w:val="19"/>
                <w:szCs w:val="19"/>
              </w:rPr>
              <w:t xml:space="preserve">Tanggal: _______________</w:t>
            </w:r>
          </w:p>
        </w:tc>
        <w:tc>
          <w:tcPr>
            <w:tcW w:type="dxa" w:w="3120"/>
            <w:tcBorders>
              <w:top w:val="single" w:color="B8CCE4" w:sz="1"/>
              <w:left w:val="single" w:color="B8CCE4" w:sz="1"/>
              <w:bottom w:val="single" w:color="B8CCE4" w:sz="1"/>
              <w:right w:val="single" w:color="B8CCE4" w:sz="1"/>
            </w:tcBorders>
            <w:shd w:fill="FFFFFF" w:val="clear"/>
            <w:tcMar>
              <w:top w:type="dxa" w:w="80"/>
              <w:left w:type="dxa" w:w="150"/>
              <w:bottom w:type="dxa" w:w="80"/>
              <w:right w:type="dxa" w:w="150"/>
            </w:tcMar>
          </w:tcPr>
          <w:p>
            <w:r>
              <w:rPr>
                <w:rFonts w:ascii="Arial" w:cs="Arial" w:eastAsia="Arial" w:hAnsi="Arial"/>
                <w:color w:val="666666"/>
                <w:sz w:val="19"/>
                <w:szCs w:val="19"/>
              </w:rPr>
              <w:t xml:space="preserve">Tanggal: _______________</w:t>
            </w:r>
          </w:p>
        </w:tc>
        <w:tc>
          <w:tcPr>
            <w:tcW w:type="dxa" w:w="3120"/>
            <w:tcBorders>
              <w:top w:val="single" w:color="B8CCE4" w:sz="1"/>
              <w:left w:val="single" w:color="B8CCE4" w:sz="1"/>
              <w:bottom w:val="single" w:color="B8CCE4" w:sz="1"/>
              <w:right w:val="single" w:color="B8CCE4" w:sz="1"/>
            </w:tcBorders>
            <w:shd w:fill="F5F7FA" w:val="clear"/>
            <w:tcMar>
              <w:top w:type="dxa" w:w="80"/>
              <w:left w:type="dxa" w:w="150"/>
              <w:bottom w:type="dxa" w:w="80"/>
              <w:right w:type="dxa" w:w="150"/>
            </w:tcMar>
          </w:tcPr>
          <w:p>
            <w:r>
              <w:rPr>
                <w:rFonts w:ascii="Arial" w:cs="Arial" w:eastAsia="Arial" w:hAnsi="Arial"/>
                <w:color w:val="666666"/>
                <w:sz w:val="19"/>
                <w:szCs w:val="19"/>
              </w:rPr>
              <w:t xml:space="preserve">Tanggal: 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3" w:sz="4" w:space="3"/>
      </w:pBdr>
      <w:tabs>
        <w:tab w:val="right" w:pos="9026"/>
      </w:tabs>
    </w:pPr>
    <w:r>
      <w:rPr>
        <w:rFonts w:ascii="Arial" w:cs="Arial" w:eastAsia="Arial" w:hAnsi="Arial"/>
        <w:color w:val="888888"/>
        <w:sz w:val="16"/>
        <w:szCs w:val="16"/>
      </w:rPr>
      <w:t xml:space="preserve">DOKUMEN INI BERSIFAT INTERNAL – DILARANG DISEBARLUASKAN TANPA IZIN</w:t>
    </w:r>
    <w:r>
      <w:rPr>
        <w:sz w:val="16"/>
        <w:szCs w:val="16"/>
      </w:rPr>
      <w:t xml:space="preserve">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left w:val="none"/>
            <w:bottom w:val="single" w:color="2E5DA3" w:sz="4"/>
            <w:right w:val="none"/>
          </w:tcBorders>
        </w:tcPr>
        <w:p>
          <w:r>
            <w:rPr>
              <w:rFonts w:ascii="Arial" w:cs="Arial" w:eastAsia="Arial" w:hAnsi="Arial"/>
              <w:b/>
              <w:bCs/>
              <w:color w:val="1F3864"/>
              <w:sz w:val="16"/>
              <w:szCs w:val="16"/>
            </w:rPr>
            <w:t xml:space="preserve">KEBIJAKAN KEAMANAN LAYANAN CLOUD | POL-ISMS-CS-001</w:t>
          </w:r>
        </w:p>
      </w:tc>
      <w:tc>
        <w:tcPr>
          <w:tcW w:type="dxa" w:w="3000"/>
          <w:tcBorders>
            <w:top w:val="none"/>
            <w:left w:val="none"/>
            <w:bottom w:val="single" w:color="2E5DA3" w:sz="4"/>
            <w:right w:val="none"/>
          </w:tcBorders>
        </w:tcPr>
        <w:p>
          <w:pPr>
            <w:jc w:val="right"/>
          </w:pPr>
          <w:r>
            <w:rPr>
              <w:rFonts w:ascii="Arial" w:cs="Arial" w:eastAsia="Arial" w:hAnsi="Arial"/>
              <w:color w:val="666666"/>
              <w:sz w:val="16"/>
              <w:szCs w:val="16"/>
            </w:rPr>
            <w:t xml:space="preserve">Versi 1.0 | Maret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D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5DA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2026-03-15T22:12:32.002Z</dcterms:created>
  <dcterms:modified xsi:type="dcterms:W3CDTF">2026-03-15T22:12:32.003Z</dcterms:modified>
</cp:coreProperties>
</file>

<file path=docProps/custom.xml><?xml version="1.0" encoding="utf-8"?>
<Properties xmlns="http://schemas.openxmlformats.org/officeDocument/2006/custom-properties" xmlns:vt="http://schemas.openxmlformats.org/officeDocument/2006/docPropsVTypes"/>
</file>