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b/>
          <w:bCs/>
          <w:sz w:val="32"/>
          <w:szCs w:val="32"/>
        </w:rPr>
        <w:t xml:space="preserve">CHECKLIST IMPLEMENTASI</w:t>
      </w:r>
    </w:p>
    <w:p>
      <w:pPr>
        <w:spacing w:after="240"/>
        <w:jc w:val="center"/>
      </w:pPr>
      <w:r>
        <w:rPr>
          <w:sz w:val="26"/>
          <w:szCs w:val="26"/>
        </w:rPr>
        <w:t xml:space="preserve">Kebijakan dan SOP Komunikasi Keamanan Informasi</w:t>
      </w:r>
    </w:p>
    <w:p>
      <w:pPr>
        <w:spacing w:after="1440"/>
        <w:jc w:val="center"/>
      </w:pPr>
      <w:r>
        <w:rPr>
          <w:b/>
          <w:bCs/>
          <w:color w:val="1F4E78"/>
          <w:sz w:val="26"/>
          <w:szCs w:val="26"/>
        </w:rPr>
        <w:t xml:space="preserve">ISO 27001:2022</w:t>
      </w:r>
    </w:p>
    <w:p>
      <w:pPr>
        <w:spacing w:after="2880" w:before="1440"/>
        <w:jc w:val="center"/>
      </w:pPr>
      <w:r>
        <w:rPr>
          <w:b/>
          <w:bCs/>
          <w:sz w:val="24"/>
          <w:szCs w:val="24"/>
        </w:rPr>
        <w:t xml:space="preserve">PT EQUITY LIFE INDONESIA</w:t>
      </w:r>
    </w:p>
    <w:p>
      <w:pPr>
        <w:pStyle w:val="Heading1"/>
        <w:shd w:fill="1F4E78" w:val="clear"/>
      </w:pPr>
      <w:r>
        <w:rPr>
          <w:color w:val="FFFFFF"/>
        </w:rPr>
        <w:t xml:space="preserve">TAHAP 1: PERSIAPAN &amp;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13"/>
        <w:gridCol w:w="1500"/>
        <w:gridCol w:w="1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dokumen Kebijakan &amp; SOP dengan CISO dan Legal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Kustomisasi dokumen sesuai konteks PT Equity Life Indonesia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Presentasi kepada Dewan Direksi untuk approval resmi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Penandatanganan dokumen oleh Direksi dan 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Distribusi ke semua departemen dan stakeholder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2880"/>
      </w:pPr>
      <w:r>
        <w:t xml:space="preserve"/>
      </w:r>
    </w:p>
    <w:p>
      <w:pPr>
        <w:pStyle w:val="Heading1"/>
        <w:shd w:fill="1F4E78" w:val="clear"/>
      </w:pPr>
      <w:r>
        <w:rPr>
          <w:color w:val="FFFFFF"/>
        </w:rPr>
        <w:t xml:space="preserve">TAHAP 2: SETUP INFRASTRUKTUR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13"/>
        <w:gridCol w:w="1500"/>
        <w:gridCol w:w="1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email hotline keamanan: security@equitylifeid.com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Konfigurasi respons otomatis (auto-reply) untuk hotline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portal pelaporan insiden di intranet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+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Publikasikan kebijakan di intranet/portal internal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HR/Keamanan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database/sistem tracking insiden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+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2880"/>
      </w:pPr>
      <w:r>
        <w:t xml:space="preserve"/>
      </w:r>
    </w:p>
    <w:p>
      <w:pPr>
        <w:pStyle w:val="Heading1"/>
        <w:shd w:fill="1F4E78" w:val="clear"/>
      </w:pPr>
      <w:r>
        <w:rPr>
          <w:color w:val="FFFFFF"/>
        </w:rPr>
        <w:t xml:space="preserve">TAHAP 3: PELATIHAN &amp; SOSIALISASI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13"/>
        <w:gridCol w:w="1500"/>
        <w:gridCol w:w="1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Persiapan materi training untuk leadership (Direksi &amp; Manager)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Sosialisasi kebijakan kepada tim IT dan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Persiapan modul e-learning untuk karyawan baru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Persiapan materi training umum untuk semua karyawan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Laksanakan training leadership &amp; semua karyawan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288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TAHAP 4: OPERASIONAL BERKELANJUTAN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13"/>
        <w:gridCol w:w="1500"/>
        <w:gridCol w:w="1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Frekuensi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Kirim email kampanye kesadaran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dan proses laporan insiden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Berkelanjutan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Investigasi dan dokumentasi insiden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Sesuai SLA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Simulasi phishing dan follow-up training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Kuartalan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Laksanakan pelatihan formal untuk semua karyawan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 kepada manajemen senior (status keamanan)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Kuartalan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compliance dan kepatuhan kebijakan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2880"/>
      </w:pPr>
      <w:r>
        <w:t xml:space="preserve"/>
      </w:r>
    </w:p>
    <w:p>
      <w:pPr>
        <w:pStyle w:val="Heading1"/>
        <w:shd w:fill="1F4E78" w:val="clear"/>
      </w:pPr>
      <w:r>
        <w:rPr>
          <w:color w:val="FFFFFF"/>
        </w:rPr>
        <w:t xml:space="preserve">TAHAP 5: REVIEW &amp; IMPROVEMENT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13"/>
        <w:gridCol w:w="1500"/>
        <w:gridCol w:w="1513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Frekuensi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efektivitas program komunikasi keamanan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dan update dokumen kebijakan &amp; SOP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Pembelajaran dari insiden dan perbaikan proses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Berkelanjutan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Engagement stakeholder dan feedback collection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1F4E78" w:sz="6"/>
        </w:pBdr>
        <w:spacing w:after="120" w:before="240"/>
      </w:pPr>
      <w:r>
        <w:t xml:space="preserve">CATATAN: Checklist ini adalah panduan implementasi. Sesuaikan timeline dan assignment sesuai kapasitas organisasi.</w:t>
      </w:r>
    </w:p>
    <w:p>
      <w:pPr>
        <w:spacing w:after="120"/>
      </w:pPr>
      <w:r>
        <w:t xml:space="preserve">CONTACT: CISO (ciso@equitylifeid.com) untuk koordinasi dan approval perubahan timeline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2026-03-14T13:23:46.881Z</dcterms:created>
  <dcterms:modified xsi:type="dcterms:W3CDTF">2026-03-14T13:23:46.882Z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