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B4D35" w:val="clear"/>
            <w:tcMar>
              <w:top w:type="dxa" w:w="180"/>
              <w:left w:type="dxa" w:w="300"/>
              <w:bottom w:type="dxa" w:w="80"/>
              <w:right w:type="dxa" w:w="300"/>
            </w:tcMar>
          </w:tcPr>
          <w:p>
            <w:pPr>
              <w:spacing w:before="0" w:after="40"/>
              <w:jc w:val="center"/>
            </w:pPr>
            <w:r>
              <w:rPr>
                <w:rFonts w:ascii="Arial" w:cs="Arial" w:eastAsia="Arial" w:hAnsi="Arial"/>
                <w:b/>
                <w:bCs/>
                <w:i w:val="false"/>
                <w:iCs w:val="false"/>
                <w:color w:val="FFFFFF"/>
                <w:sz w:val="22"/>
                <w:szCs w:val="22"/>
              </w:rPr>
              <w:t xml:space="preserve">PT EQUITY LIFE INDONESIA</w:t>
            </w:r>
          </w:p>
          <w:p>
            <w:pPr>
              <w:spacing w:before="0" w:after="80"/>
              <w:jc w:val="center"/>
            </w:pPr>
            <w:r>
              <w:rPr>
                <w:rFonts w:ascii="Arial" w:cs="Arial" w:eastAsia="Arial" w:hAnsi="Arial"/>
                <w:b w:val="false"/>
                <w:bCs w:val="false"/>
                <w:i w:val="false"/>
                <w:iCs w:val="false"/>
                <w:color w:val="B8D4C6"/>
                <w:sz w:val="18"/>
                <w:szCs w:val="18"/>
              </w:rPr>
              <w:t xml:space="preserve">Divisi Teknologi Informasi &amp; Keamanan Informasi</w:t>
            </w:r>
          </w:p>
        </w:tc>
      </w:tr>
      <w:tr>
        <w:tc>
          <w:tcPr>
            <w:tcW w:type="dxa" w:w="9360"/>
            <w:tcBorders>
              <w:top w:val="single" w:color="BDBDBD" w:sz="1"/>
              <w:left w:val="single" w:color="BDBDBD" w:sz="1"/>
              <w:bottom w:val="single" w:color="BDBDBD" w:sz="1"/>
              <w:right w:val="single" w:color="BDBDBD" w:sz="1"/>
            </w:tcBorders>
            <w:shd w:fill="2D7A4F" w:val="clear"/>
            <w:tcMar>
              <w:top w:type="dxa" w:w="60"/>
              <w:left w:type="dxa" w:w="300"/>
              <w:bottom w:type="dxa" w:w="60"/>
              <w:right w:type="dxa" w:w="300"/>
            </w:tcMar>
          </w:tcPr>
          <w:p>
            <w:pPr>
              <w:spacing w:before="0" w:after="80"/>
              <w:jc w:val="center"/>
            </w:pPr>
            <w:r>
              <w:rPr>
                <w:rFonts w:ascii="Arial" w:cs="Arial" w:eastAsia="Arial" w:hAnsi="Arial"/>
                <w:b w:val="false"/>
                <w:bCs w:val="false"/>
                <w:i w:val="false"/>
                <w:iCs w:val="false"/>
                <w:color w:val="D6EDE0"/>
                <w:sz w:val="18"/>
                <w:szCs w:val="18"/>
              </w:rPr>
              <w:t xml:space="preserve">ELI-POL-ITS-004</w:t>
            </w:r>
          </w:p>
        </w:tc>
      </w:tr>
      <w:tr>
        <w:tc>
          <w:tcPr>
            <w:tcW w:type="dxa" w:w="9360"/>
            <w:tcBorders>
              <w:top w:val="single" w:color="BDBDBD" w:sz="1"/>
              <w:left w:val="single" w:color="BDBDBD" w:sz="1"/>
              <w:bottom w:val="single" w:color="BDBDBD" w:sz="1"/>
              <w:right w:val="single" w:color="BDBDBD" w:sz="1"/>
            </w:tcBorders>
            <w:shd w:fill="D6EDE0" w:val="clear"/>
            <w:tcMar>
              <w:top w:type="dxa" w:w="160"/>
              <w:left w:type="dxa" w:w="300"/>
              <w:bottom w:type="dxa" w:w="160"/>
              <w:right w:type="dxa" w:w="300"/>
            </w:tcMar>
          </w:tcPr>
          <w:p>
            <w:pPr>
              <w:spacing w:before="0" w:after="40"/>
              <w:jc w:val="center"/>
            </w:pPr>
            <w:r>
              <w:rPr>
                <w:rFonts w:ascii="Arial" w:cs="Arial" w:eastAsia="Arial" w:hAnsi="Arial"/>
                <w:b/>
                <w:bCs/>
                <w:i w:val="false"/>
                <w:iCs w:val="false"/>
                <w:color w:val="1B4D35"/>
                <w:sz w:val="32"/>
                <w:szCs w:val="32"/>
              </w:rPr>
              <w:t xml:space="preserve">KEBIJAKAN COMMUNICATION PLAN</w:t>
            </w:r>
          </w:p>
          <w:p>
            <w:pPr>
              <w:spacing w:before="0" w:after="80"/>
              <w:jc w:val="center"/>
            </w:pPr>
            <w:r>
              <w:rPr>
                <w:rFonts w:ascii="Arial" w:cs="Arial" w:eastAsia="Arial" w:hAnsi="Arial"/>
                <w:b w:val="false"/>
                <w:bCs w:val="false"/>
                <w:i/>
                <w:iCs/>
                <w:color w:val="2D7A4F"/>
                <w:sz w:val="20"/>
                <w:szCs w:val="20"/>
              </w:rPr>
              <w:t xml:space="preserve">IT &amp; Information Security Communication Policy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Kode Dokumen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Versi</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Status</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Klasifikasi</w:t>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ELI-POL-ITS-004</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v1.0</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Aktif</w:t>
            </w:r>
          </w:p>
        </w:tc>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INTERNAL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Pemilik Dokumen</w:t>
            </w:r>
          </w:p>
        </w:tc>
        <w:tc>
          <w:tcPr>
            <w:tcW w:type="dxa" w:w="7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Chief Information Security Officer (CISO)</w:t>
            </w:r>
          </w:p>
        </w:tc>
      </w:tr>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Berlaku untuk</w:t>
            </w:r>
          </w:p>
        </w:tc>
        <w:tc>
          <w:tcPr>
            <w:tcW w:type="dxa" w:w="7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Seluruh karyawan, vendor, dan mitra yang mengakses sistem informasi PT Equity Life Indonesia</w:t>
            </w:r>
          </w:p>
        </w:tc>
      </w:tr>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Tanggal Berlaku</w:t>
            </w:r>
          </w:p>
        </w:tc>
        <w:tc>
          <w:tcPr>
            <w:tcW w:type="dxa" w:w="7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2026-03-01</w:t>
            </w:r>
          </w:p>
        </w:tc>
      </w:tr>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Review Berikutnya</w:t>
            </w:r>
          </w:p>
        </w:tc>
        <w:tc>
          <w:tcPr>
            <w:tcW w:type="dxa" w:w="7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Tahunan atau jika terjadi perubahan organisasi / regulasi signifikan</w:t>
            </w:r>
          </w:p>
        </w:tc>
      </w:tr>
      <w:tr>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Referensi ISO</w:t>
            </w:r>
          </w:p>
        </w:tc>
        <w:tc>
          <w:tcPr>
            <w:tcW w:type="dxa" w:w="7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ISO/IEC 27001:2022 — A.5.1, A.5.2, A.5.3, A.6.1, A.6.2, A.6.3, A.8.16, A.8.17, A.8.34; POJK No.11/2022</w:t>
            </w:r>
          </w:p>
        </w:tc>
      </w:tr>
    </w:tbl>
    <w:p>
      <w:pPr>
        <w:spacing w:after="120"/>
      </w:pPr>
      <w:r>
        <w:t xml:space="preserve"/>
      </w:r>
    </w:p>
    <w:p>
      <w:pPr>
        <w:pStyle w:val="Heading2"/>
        <w:spacing w:before="240" w:after="120"/>
      </w:pPr>
      <w:r>
        <w:rPr>
          <w:rFonts w:ascii="Arial" w:cs="Arial" w:eastAsia="Arial" w:hAnsi="Arial"/>
          <w:b/>
          <w:bCs/>
          <w:i w:val="false"/>
          <w:iCs w:val="false"/>
          <w:color w:val="2D7A4F"/>
          <w:sz w:val="26"/>
          <w:szCs w:val="26"/>
        </w:rPr>
        <w:t xml:space="preserve">Riwayat Versi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2000"/>
        <w:gridCol w:w="2560"/>
      </w:tblGrid>
      <w:tr>
        <w:tc>
          <w:tcPr>
            <w:tcW w:type="dxa" w:w="1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Versi</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Tanggal</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Penulis</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Reviewer</w:t>
            </w:r>
          </w:p>
        </w:tc>
        <w:tc>
          <w:tcPr>
            <w:tcW w:type="dxa" w:w="2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Deskripsi Perubahan</w:t>
            </w:r>
          </w:p>
        </w:tc>
      </w:tr>
      <w:tr>
        <w:tc>
          <w:tcPr>
            <w:tcW w:type="dxa" w:w="1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center"/>
            </w:pPr>
            <w:r>
              <w:rPr>
                <w:rFonts w:ascii="Arial" w:cs="Arial" w:eastAsia="Arial" w:hAnsi="Arial"/>
                <w:b w:val="false"/>
                <w:bCs w:val="false"/>
                <w:i w:val="false"/>
                <w:iCs w:val="false"/>
                <w:color w:val="1A1A1A"/>
                <w:sz w:val="20"/>
                <w:szCs w:val="20"/>
              </w:rPr>
              <w:t xml:space="preserve">v1.0</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2026-03-01</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Security Team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IT Manager</w:t>
            </w:r>
          </w:p>
        </w:tc>
        <w:tc>
          <w:tcPr>
            <w:tcW w:type="dxa" w:w="2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Dokumen awal — Communication Plan Policy ELI</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1. PENDAHULUAN</w:t>
      </w:r>
    </w:p>
    <w:p>
      <w:pPr>
        <w:pStyle w:val="Heading2"/>
        <w:spacing w:before="240" w:after="120"/>
      </w:pPr>
      <w:r>
        <w:rPr>
          <w:rFonts w:ascii="Arial" w:cs="Arial" w:eastAsia="Arial" w:hAnsi="Arial"/>
          <w:b/>
          <w:bCs/>
          <w:i w:val="false"/>
          <w:iCs w:val="false"/>
          <w:color w:val="2D7A4F"/>
          <w:sz w:val="26"/>
          <w:szCs w:val="26"/>
        </w:rPr>
        <w:t xml:space="preserve">1.1 Latar Belakang</w:t>
      </w:r>
    </w:p>
    <w:p>
      <w:pPr>
        <w:spacing w:before="0" w:after="160"/>
        <w:jc w:val="left"/>
      </w:pPr>
      <w:r>
        <w:rPr>
          <w:rFonts w:ascii="Arial" w:cs="Arial" w:eastAsia="Arial" w:hAnsi="Arial"/>
          <w:b w:val="false"/>
          <w:bCs w:val="false"/>
          <w:i w:val="false"/>
          <w:iCs w:val="false"/>
          <w:color w:val="1A1A1A"/>
          <w:sz w:val="20"/>
          <w:szCs w:val="20"/>
        </w:rPr>
        <w:t xml:space="preserve">PT Equity Life Indonesia (ELI) mengelola informasi sensitif yang mencakup data nasabah, data keuangan, dan data operasional bisnis. Komunikasi yang efektif, aman, dan terstruktur merupakan pilar penting dalam menjaga kerahasiaan, integritas, dan ketersediaan informasi (CIA Triad) sesuai ISO/IEC 27001:2022.</w:t>
      </w:r>
    </w:p>
    <w:p>
      <w:pPr>
        <w:spacing w:before="0" w:after="160"/>
        <w:jc w:val="left"/>
      </w:pPr>
      <w:r>
        <w:rPr>
          <w:rFonts w:ascii="Arial" w:cs="Arial" w:eastAsia="Arial" w:hAnsi="Arial"/>
          <w:b w:val="false"/>
          <w:bCs w:val="false"/>
          <w:i w:val="false"/>
          <w:iCs w:val="false"/>
          <w:color w:val="1A1A1A"/>
          <w:sz w:val="20"/>
          <w:szCs w:val="20"/>
        </w:rPr>
        <w:t xml:space="preserve">Kebijakan ini menetapkan kerangka kerja komunikasi yang wajib diterapkan dalam konteks IT dan Keamanan Informasi, meliputi komunikasi internal antar departemen, komunikasi eksternal dengan vendor/regulator/nasabah, serta komunikasi insiden keamanan informasi.</w:t>
      </w:r>
    </w:p>
    <w:p>
      <w:pPr>
        <w:spacing w:after="80"/>
      </w:pPr>
      <w:r>
        <w:t xml:space="preserve"/>
      </w:r>
    </w:p>
    <w:p>
      <w:pPr>
        <w:pStyle w:val="Heading2"/>
        <w:spacing w:before="240" w:after="120"/>
      </w:pPr>
      <w:r>
        <w:rPr>
          <w:rFonts w:ascii="Arial" w:cs="Arial" w:eastAsia="Arial" w:hAnsi="Arial"/>
          <w:b/>
          <w:bCs/>
          <w:i w:val="false"/>
          <w:iCs w:val="false"/>
          <w:color w:val="2D7A4F"/>
          <w:sz w:val="26"/>
          <w:szCs w:val="26"/>
        </w:rPr>
        <w:t xml:space="preserve">1.2 Tujuan</w:t>
      </w:r>
    </w:p>
    <w:p>
      <w:pPr>
        <w:spacing w:before="0" w:after="100"/>
        <w:jc w:val="left"/>
      </w:pPr>
      <w:r>
        <w:rPr>
          <w:rFonts w:ascii="Arial" w:cs="Arial" w:eastAsia="Arial" w:hAnsi="Arial"/>
          <w:b w:val="false"/>
          <w:bCs w:val="false"/>
          <w:i w:val="false"/>
          <w:iCs w:val="false"/>
          <w:color w:val="1A1A1A"/>
          <w:sz w:val="20"/>
          <w:szCs w:val="20"/>
        </w:rPr>
        <w:t xml:space="preserve">Kebijakan ini bertujuan untuk: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Memastikan komunikasi terkait IT dan keamanan informasi berjalan secara konsisten, tepat waktu, dan kepada pihak yang berwenang.</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Menetapkan jalur dan protokol komunikasi resmi untuk kondisi normal, Change Management, dan insiden keamanan.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Memenuhi persyaratan ISO/IEC 27001:2022 klausul 7.4 (Komunikasi) dan kontrol Annex A terkait.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Melindungi informasi rahasia dari kebocoran yang disebabkan oleh komunikasi yang tidak terkelola.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Mendukung kepatuhan terhadap regulasi POJK No.11/2022 tentang keamanan siber di industri perasuransian.</w:t>
      </w:r>
    </w:p>
    <w:p>
      <w:pPr>
        <w:spacing w:after="80"/>
      </w:pPr>
      <w:r>
        <w:t xml:space="preserve"/>
      </w:r>
    </w:p>
    <w:p>
      <w:pPr>
        <w:pStyle w:val="Heading2"/>
        <w:spacing w:before="240" w:after="120"/>
      </w:pPr>
      <w:r>
        <w:rPr>
          <w:rFonts w:ascii="Arial" w:cs="Arial" w:eastAsia="Arial" w:hAnsi="Arial"/>
          <w:b/>
          <w:bCs/>
          <w:i w:val="false"/>
          <w:iCs w:val="false"/>
          <w:color w:val="2D7A4F"/>
          <w:sz w:val="26"/>
          <w:szCs w:val="26"/>
        </w:rPr>
        <w:t xml:space="preserve">1.3 Ruang Lingkup</w:t>
      </w:r>
    </w:p>
    <w:p>
      <w:pPr>
        <w:spacing w:before="0" w:after="100"/>
        <w:jc w:val="left"/>
      </w:pPr>
      <w:r>
        <w:rPr>
          <w:rFonts w:ascii="Arial" w:cs="Arial" w:eastAsia="Arial" w:hAnsi="Arial"/>
          <w:b w:val="false"/>
          <w:bCs w:val="false"/>
          <w:i w:val="false"/>
          <w:iCs w:val="false"/>
          <w:color w:val="1A1A1A"/>
          <w:sz w:val="20"/>
          <w:szCs w:val="20"/>
        </w:rPr>
        <w:t xml:space="preserve">Kebijakan ini berlaku untuk: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Seluruh karyawan tetap, karyawan kontrak, dan tenaga alih daya yang mengakses sistem informasi ELI.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Vendor, mitra bisnis, dan pihak ketiga yang terlibat dalam pengelolaan sistem IT ELI.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Semua saluran komunikasi yang digunakan dalam lingkup IT dan keamanan informasi, termasuk: email resmi, aplikasi pesan singkat (WhatsApp/Teams/Slack), sistem tiket, rapat formal, dan pengumuman resmi.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Komunikasi internal (antar departemen ELI) maupun eksternal (regulator, vendor, nasabah, publik).</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2. REFERENSI NORMATIF</w:t>
      </w:r>
    </w:p>
    <w:p>
      <w:pPr>
        <w:spacing w:before="0" w:after="100"/>
        <w:jc w:val="left"/>
      </w:pPr>
      <w:r>
        <w:rPr>
          <w:rFonts w:ascii="Arial" w:cs="Arial" w:eastAsia="Arial" w:hAnsi="Arial"/>
          <w:b w:val="false"/>
          <w:bCs w:val="false"/>
          <w:i w:val="false"/>
          <w:iCs w:val="false"/>
          <w:color w:val="1A1A1A"/>
          <w:sz w:val="20"/>
          <w:szCs w:val="20"/>
        </w:rPr>
        <w:t xml:space="preserve">Kebijakan ini disusun mengacu pada standar, regulasi, dan dokumen internal sebagai berikut: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Referensi</w:t>
            </w:r>
          </w:p>
        </w:tc>
        <w:tc>
          <w:tcPr>
            <w:tcW w:type="dxa" w:w="47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Judul / Keterangan</w:t>
            </w:r>
          </w:p>
        </w:tc>
        <w:tc>
          <w:tcPr>
            <w:tcW w:type="dxa" w:w="2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Klausul Relevan</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27001:2022</w:t>
            </w:r>
          </w:p>
        </w:tc>
        <w:tc>
          <w:tcPr>
            <w:tcW w:type="dxa" w:w="4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Information Security Management System — Requirements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7.4, A.5.1, A.5.2, A.5.3, A.6.1, A.6.2, A.6.3, A.8.16, A.8.34</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27002:2022</w:t>
            </w:r>
          </w:p>
        </w:tc>
        <w:tc>
          <w:tcPr>
            <w:tcW w:type="dxa" w:w="4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Information Security Controls</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5.1, 6.1, 6.3, 8.16, 8.17</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ISO/IEC 27035:2016</w:t>
            </w:r>
          </w:p>
        </w:tc>
        <w:tc>
          <w:tcPr>
            <w:tcW w:type="dxa" w:w="4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Information Security Incident Management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Komunikasi Insiden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POJK No.11/2022</w:t>
            </w:r>
          </w:p>
        </w:tc>
        <w:tc>
          <w:tcPr>
            <w:tcW w:type="dxa" w:w="4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Penerapan Tata Kelola TI bagi Perusahaan Perasuransian</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Pasal 12, 25, 27</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NIST SP 800-61 r3</w:t>
            </w:r>
          </w:p>
        </w:tc>
        <w:tc>
          <w:tcPr>
            <w:tcW w:type="dxa" w:w="4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Computer Security Incident Handling Guide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Komunikasi Insiden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ELI-POL-ITS-001</w:t>
            </w:r>
          </w:p>
        </w:tc>
        <w:tc>
          <w:tcPr>
            <w:tcW w:type="dxa" w:w="4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Keamanan Informasi ELI</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Seluruh klausul</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ELI-POL-ITS-003</w:t>
            </w:r>
          </w:p>
        </w:tc>
        <w:tc>
          <w:tcPr>
            <w:tcW w:type="dxa" w:w="4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Release &amp; Change Management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Komunikasi Change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ELI-SOP-ITS-004</w:t>
            </w:r>
          </w:p>
        </w:tc>
        <w:tc>
          <w:tcPr>
            <w:tcW w:type="dxa" w:w="4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SOP Communication Plan (dokumen ini)</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Seluruh prosedur</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3. DEFINISI DAN SINGKATAN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Istilah / Singkatan</w:t>
            </w:r>
          </w:p>
        </w:tc>
        <w:tc>
          <w:tcPr>
            <w:tcW w:type="dxa" w:w="6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Definisi</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Communication Plan</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Rencana terstruktur yang mendefinisikan siapa berkomunikasi apa, kepada siapa, melalui saluran apa, dan kapan, dalam konteks IT dan keamanan informasi.</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Komunikasi Internal</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Pertukaran informasi antara karyawan, tim, atau departemen dalam lingkungan ELI.</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Komunikasi Eksternal</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Pertukaran informasi antara ELI dengan pihak di luar organisasi: regulator, vendor, nasabah, media, atau publik.</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Saluran Komunikasi</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Medium yang digunakan untuk menyampaikan pesan, termasuk email, aplikasi pesan, sistem tiket, rapat, dan dokumen resmi.</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Komunikasi Insiden</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Serangkaian pemberitahuan formal yang wajib dilakukan ketika terjadi insiden keamanan informasi, mencakup eskalasi internal dan notifikasi eksternal.</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PIC (Person in Charge)</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Individu yang bertanggung jawab atas suatu aktivitas komunikasi atau insiden tertentu.</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Eskalasi</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Proses meneruskan informasi atau masalah ke tingkatan otoritas yang lebih tinggi apabila tidak dapat diselesaikan pada level saat ini.</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Need-to-Know</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Prinsip bahwa informasi hanya dibagikan kepada pihak yang memiliki keperluan bisnis yang sah.</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CISO</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Chief Information Security Officer — penanggung jawab tertinggi keamanan informasi di ELI.</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CAB</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Change Advisory Board — komite yang mengevaluasi dan menyetujui perubahan IT berskala Normal dan Major.</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War Room</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Ruang/saluran koordinasi darurat yang diaktifkan saat terjadi insiden P1/P2 untuk memfasilitasi komunikasi real-time antar tim respons.</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DPO</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Data Protection Officer — pejabat perlindungan data pribadi.</w:t>
            </w:r>
          </w:p>
        </w:tc>
      </w:tr>
      <w:tr>
        <w:tc>
          <w:tcPr>
            <w:tcW w:type="dxa" w:w="30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SOC</w:t>
            </w:r>
          </w:p>
        </w:tc>
        <w:tc>
          <w:tcPr>
            <w:tcW w:type="dxa" w:w="6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Security Operations Center — tim yang memantau ancaman dan insiden keamanan secara real-time.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RTO</w:t>
            </w:r>
          </w:p>
        </w:tc>
        <w:tc>
          <w:tcPr>
            <w:tcW w:type="dxa" w:w="6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Recovery Time Objective — target waktu pemulihan layanan setelah gangguan.</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4. KEBIJAKAN</w:t>
      </w:r>
    </w:p>
    <w:p>
      <w:pPr>
        <w:pStyle w:val="Heading2"/>
        <w:spacing w:before="240" w:after="120"/>
      </w:pPr>
      <w:r>
        <w:rPr>
          <w:rFonts w:ascii="Arial" w:cs="Arial" w:eastAsia="Arial" w:hAnsi="Arial"/>
          <w:b/>
          <w:bCs/>
          <w:i w:val="false"/>
          <w:iCs w:val="false"/>
          <w:color w:val="2D7A4F"/>
          <w:sz w:val="26"/>
          <w:szCs w:val="26"/>
        </w:rPr>
        <w:t xml:space="preserve">4.1 Prinsip Dasar Komunikasi Informasi</w:t>
      </w:r>
    </w:p>
    <w:p>
      <w:pPr>
        <w:spacing w:before="0" w:after="100"/>
        <w:jc w:val="left"/>
      </w:pPr>
      <w:r>
        <w:rPr>
          <w:rFonts w:ascii="Arial" w:cs="Arial" w:eastAsia="Arial" w:hAnsi="Arial"/>
          <w:b w:val="false"/>
          <w:bCs w:val="false"/>
          <w:i w:val="false"/>
          <w:iCs w:val="false"/>
          <w:color w:val="1A1A1A"/>
          <w:sz w:val="20"/>
          <w:szCs w:val="20"/>
        </w:rPr>
        <w:t xml:space="preserve">Seluruh komunikasi yang berkaitan dengan IT dan keamanan informasi di ELI wajib memenuhi prinsip-prinsip berikut: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1560"/>
        <w:gridCol w:w="1700"/>
        <w:gridCol w:w="1800"/>
      </w:tblGrid>
      <w:tr>
        <w:tc>
          <w:tcPr>
            <w:tcW w:type="dxa" w:w="1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Prinsip</w:t>
            </w:r>
          </w:p>
        </w:tc>
        <w:tc>
          <w:tcPr>
            <w:tcW w:type="dxa" w:w="2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Penjelasan</w:t>
            </w:r>
          </w:p>
        </w:tc>
        <w:tc>
          <w:tcPr>
            <w:tcW w:type="dxa" w:w="1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Berlaku untuk</w:t>
            </w:r>
          </w:p>
        </w:tc>
        <w:tc>
          <w:tcPr>
            <w:tcW w:type="dxa" w:w="1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Kontrol ISO</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Sanksi jika Dilanggar</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Akurasi</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Informasi yang disampaikan harus benar, terverifikasi, dan tidak menyesatkan.</w:t>
            </w:r>
          </w:p>
        </w:tc>
        <w:tc>
          <w:tcPr>
            <w:tcW w:type="dxa" w:w="1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pihak</w:t>
            </w:r>
          </w:p>
        </w:tc>
        <w:tc>
          <w:tcPr>
            <w:tcW w:type="dxa" w:w="1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pembekuan akses komunikasi resmi</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Ketepatan Waktu</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Komunikasi harus disampaikan sesuai tenggat yang ditetapkan dalam SOP atau kebijakan ini.</w:t>
            </w:r>
          </w:p>
        </w:tc>
        <w:tc>
          <w:tcPr>
            <w:tcW w:type="dxa" w:w="1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pihak</w:t>
            </w:r>
          </w:p>
        </w:tc>
        <w:tc>
          <w:tcPr>
            <w:tcW w:type="dxa" w:w="1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7.4</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eskalasi ke manajemen</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Kerahasiaan</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Informasi sensitif hanya dibagikan kepada pihak yang berwenang (need-to-know).</w:t>
            </w:r>
          </w:p>
        </w:tc>
        <w:tc>
          <w:tcPr>
            <w:tcW w:type="dxa" w:w="1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pihak</w:t>
            </w:r>
          </w:p>
        </w:tc>
        <w:tc>
          <w:tcPr>
            <w:tcW w:type="dxa" w:w="1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A.5.3, A.8.3</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Sanksi administratif; investigasi pelanggaran data</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Integritas</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Konten komunikasi tidak boleh diubah tanpa otorisasi.</w:t>
            </w:r>
          </w:p>
        </w:tc>
        <w:tc>
          <w:tcPr>
            <w:tcW w:type="dxa" w:w="1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pihak</w:t>
            </w:r>
          </w:p>
        </w:tc>
        <w:tc>
          <w:tcPr>
            <w:tcW w:type="dxa" w:w="1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A.8.16</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investigasi insiden</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Dapat Dilacak</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komunikasi resmi harus terdokumentasi dan dapat diaudit.</w:t>
            </w:r>
          </w:p>
        </w:tc>
        <w:tc>
          <w:tcPr>
            <w:tcW w:type="dxa" w:w="1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pihak</w:t>
            </w:r>
          </w:p>
        </w:tc>
        <w:tc>
          <w:tcPr>
            <w:tcW w:type="dxa" w:w="1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A.5.3, A.8.15</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non-compliance audit</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Otoritatif</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Hanya pihak yang berwenang yang dapat berbicara atas nama ELI kepada pihak eksternal.</w:t>
            </w:r>
          </w:p>
        </w:tc>
        <w:tc>
          <w:tcPr>
            <w:tcW w:type="dxa" w:w="1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Komunikasi eksternal</w:t>
            </w:r>
          </w:p>
        </w:tc>
        <w:tc>
          <w:tcPr>
            <w:tcW w:type="dxa" w:w="1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A.6.1</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Sanksi administratif; tindakan hukum</w:t>
            </w:r>
          </w:p>
        </w:tc>
      </w:tr>
    </w:tbl>
    <w:p>
      <w:pPr>
        <w:spacing w:after="120"/>
      </w:pPr>
      <w:r>
        <w:t xml:space="preserve"/>
      </w:r>
    </w:p>
    <w:p>
      <w:pPr>
        <w:pStyle w:val="Heading2"/>
        <w:spacing w:before="240" w:after="120"/>
      </w:pPr>
      <w:r>
        <w:rPr>
          <w:rFonts w:ascii="Arial" w:cs="Arial" w:eastAsia="Arial" w:hAnsi="Arial"/>
          <w:b/>
          <w:bCs/>
          <w:i w:val="false"/>
          <w:iCs w:val="false"/>
          <w:color w:val="2D7A4F"/>
          <w:sz w:val="26"/>
          <w:szCs w:val="26"/>
        </w:rPr>
        <w:t xml:space="preserve">4.2 Komunikasi Internal</w:t>
      </w:r>
    </w:p>
    <w:p>
      <w:pPr>
        <w:spacing w:before="0" w:after="100"/>
        <w:jc w:val="left"/>
      </w:pPr>
      <w:r>
        <w:rPr>
          <w:rFonts w:ascii="Arial" w:cs="Arial" w:eastAsia="Arial" w:hAnsi="Arial"/>
          <w:b w:val="false"/>
          <w:bCs w:val="false"/>
          <w:i w:val="false"/>
          <w:iCs w:val="false"/>
          <w:color w:val="1A1A1A"/>
          <w:sz w:val="20"/>
          <w:szCs w:val="20"/>
        </w:rPr>
        <w:t xml:space="preserve">4.2.1  Saluran Komunikasi Resmi yang Diizinkan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1500"/>
        <w:gridCol w:w="2160"/>
      </w:tblGrid>
      <w:tr>
        <w:tc>
          <w:tcPr>
            <w:tcW w:type="dxa" w:w="16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Saluran</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Tipe Penggunaan</w:t>
            </w:r>
          </w:p>
        </w:tc>
        <w:tc>
          <w:tcPr>
            <w:tcW w:type="dxa" w:w="19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Klasifikasi Informasi Maks.</w:t>
            </w:r>
          </w:p>
        </w:tc>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Pengarsipan Wajib?</w:t>
            </w:r>
          </w:p>
        </w:tc>
        <w:tc>
          <w:tcPr>
            <w:tcW w:type="dxa" w:w="21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korporat (@equitylife.co.id)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Komunikasi formal, pengiriman dokumen, persetujuan</w:t>
            </w:r>
          </w:p>
        </w:tc>
        <w:tc>
          <w:tcPr>
            <w:tcW w:type="dxa" w:w="19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min. 3 tahun</w:t>
            </w:r>
          </w:p>
        </w:tc>
        <w:tc>
          <w:tcPr>
            <w:tcW w:type="dxa" w:w="2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Wajib digunakan untuk komunikasi resmi lintas departemen</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Microsoft Teams / Slack resmi</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Koordinasi harian, diskusi teknis, rapat virtual</w:t>
            </w:r>
          </w:p>
        </w:tc>
        <w:tc>
          <w:tcPr>
            <w:tcW w:type="dxa" w:w="19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Internal</w:t>
            </w:r>
          </w:p>
        </w:tc>
        <w:tc>
          <w:tcPr>
            <w:tcW w:type="dxa" w:w="1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min. 1 tahun</w:t>
            </w:r>
          </w:p>
        </w:tc>
        <w:tc>
          <w:tcPr>
            <w:tcW w:type="dxa" w:w="2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Harus menggunakan akun korporat; akun pribadi dilarang</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Sistem tiket (ITSM / Jira)</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Pelaporan insiden, permintaan layanan, change request</w:t>
            </w:r>
          </w:p>
        </w:tc>
        <w:tc>
          <w:tcPr>
            <w:tcW w:type="dxa" w:w="19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permanen</w:t>
            </w:r>
          </w:p>
        </w:tc>
        <w:tc>
          <w:tcPr>
            <w:tcW w:type="dxa" w:w="2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Setiap insiden IT wajib tercatat di sistem tiket</w:t>
            </w:r>
          </w:p>
        </w:tc>
      </w:tr>
      <w:tr>
        <w:tc>
          <w:tcPr>
            <w:tcW w:type="dxa" w:w="16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Rapat fisik / virtual formal</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Keputusan CAB, steering committee, PIR</w:t>
            </w:r>
          </w:p>
        </w:tc>
        <w:tc>
          <w:tcPr>
            <w:tcW w:type="dxa" w:w="19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Rahasia / Terbatas</w:t>
            </w:r>
          </w:p>
        </w:tc>
        <w:tc>
          <w:tcPr>
            <w:tcW w:type="dxa" w:w="1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 — notulen wajib</w:t>
            </w:r>
          </w:p>
        </w:tc>
        <w:tc>
          <w:tcPr>
            <w:tcW w:type="dxa" w:w="21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Notulen ditandatangani dan diarsipkan dalam 24 jam</w:t>
            </w:r>
          </w:p>
        </w:tc>
      </w:tr>
      <w:tr>
        <w:tc>
          <w:tcPr>
            <w:tcW w:type="dxa" w:w="16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Pengumuman intranet / wiki</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Pengumuman kebijakan, update prosedur, awareness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Internal</w:t>
            </w:r>
          </w:p>
        </w:tc>
        <w:tc>
          <w:tcPr>
            <w:tcW w:type="dxa" w:w="1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YA</w:t>
            </w:r>
          </w:p>
        </w:tc>
        <w:tc>
          <w:tcPr>
            <w:tcW w:type="dxa" w:w="21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Dikelola oleh IT Communication Officer</w:t>
            </w:r>
          </w:p>
        </w:tc>
      </w:tr>
    </w:tbl>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4.2.2  Larangan Saluran Komunikasi</w:t>
      </w:r>
    </w:p>
    <w:p>
      <w:pPr>
        <w:spacing w:before="0" w:after="100"/>
        <w:jc w:val="left"/>
      </w:pPr>
      <w:r>
        <w:rPr>
          <w:rFonts w:ascii="Arial" w:cs="Arial" w:eastAsia="Arial" w:hAnsi="Arial"/>
          <w:b w:val="false"/>
          <w:bCs w:val="false"/>
          <w:i w:val="false"/>
          <w:iCs w:val="false"/>
          <w:color w:val="1A1A1A"/>
          <w:sz w:val="20"/>
          <w:szCs w:val="20"/>
        </w:rPr>
        <w:t xml:space="preserve">Informasi internal yang diklasifikasikan sebagai Rahasia atau Terbatas DILARANG disampaikan melalui: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Aplikasi pesan pribadi (WhatsApp personal, Telegram, LINE, dll.) yang tidak dikelola ELI.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Email pribadi (Gmail, Yahoo, Hotmail, dll.).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Media sosial (Facebook, Instagram, Twitter/X, LinkedIn, dll.) kecuali dengan persetujuan tertulis dari CISO dan Corporate Communication.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Cloud storage pribadi (Google Drive pribadi, Dropbox, dll.).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SMS/MMS untuk informasi sensitif.</w:t>
      </w:r>
    </w:p>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4.2.3  Komunikasi antar Departemen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Permintaan layanan IT wajib melalui sistem tiket ITSM; permintaan via chat/email tanpa tiket tidak diproses.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Keputusan yang memiliki dampak pada layanan atau keamanan informasi wajib didokumentasikan dalam notulen rapat atau email konfirmasi.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Perubahan konfigurasi sistem wajib dikomunikasikan melalui RFC (ELI-FORM-ITS-001) sebelum diimplementasikan.</w:t>
      </w:r>
    </w:p>
    <w:p>
      <w:pPr>
        <w:spacing w:after="120"/>
      </w:pPr>
      <w:r>
        <w:t xml:space="preserve"/>
      </w:r>
    </w:p>
    <w:p>
      <w:pPr>
        <w:pStyle w:val="Heading2"/>
        <w:spacing w:before="240" w:after="120"/>
      </w:pPr>
      <w:r>
        <w:rPr>
          <w:rFonts w:ascii="Arial" w:cs="Arial" w:eastAsia="Arial" w:hAnsi="Arial"/>
          <w:b/>
          <w:bCs/>
          <w:i w:val="false"/>
          <w:iCs w:val="false"/>
          <w:color w:val="2D7A4F"/>
          <w:sz w:val="26"/>
          <w:szCs w:val="26"/>
        </w:rPr>
        <w:t xml:space="preserve">4.3 Komunikasi Eksternal</w:t>
      </w:r>
    </w:p>
    <w:p>
      <w:pPr>
        <w:spacing w:before="0" w:after="100"/>
        <w:jc w:val="left"/>
      </w:pPr>
      <w:r>
        <w:rPr>
          <w:rFonts w:ascii="Arial" w:cs="Arial" w:eastAsia="Arial" w:hAnsi="Arial"/>
          <w:b w:val="false"/>
          <w:bCs w:val="false"/>
          <w:i w:val="false"/>
          <w:iCs w:val="false"/>
          <w:color w:val="1A1A1A"/>
          <w:sz w:val="20"/>
          <w:szCs w:val="20"/>
        </w:rPr>
        <w:t xml:space="preserve">4.3.1  Pihak Eksternal yang Diakui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800"/>
        <w:gridCol w:w="1800"/>
        <w:gridCol w:w="2860"/>
      </w:tblGrid>
      <w:tr>
        <w:tc>
          <w:tcPr>
            <w:tcW w:type="dxa" w:w="1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Pihak Eksternal</w:t>
            </w:r>
          </w:p>
        </w:tc>
        <w:tc>
          <w:tcPr>
            <w:tcW w:type="dxa" w:w="1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Kategori</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PIC ELI</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Saluran Resmi</w:t>
            </w:r>
          </w:p>
        </w:tc>
        <w:tc>
          <w:tcPr>
            <w:tcW w:type="dxa" w:w="28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Catatan Keamanan</w:t>
            </w:r>
          </w:p>
        </w:tc>
      </w:tr>
      <w:tr>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OJK / Regulator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Regulator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Direktur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resmi; surat fisik</w:t>
            </w:r>
          </w:p>
        </w:tc>
        <w:tc>
          <w:tcPr>
            <w:tcW w:type="dxa" w:w="2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komunikasi harus diarsipkan; laporan insiden dalam 24 jam</w:t>
            </w:r>
          </w:p>
        </w:tc>
      </w:tr>
      <w:tr>
        <w:tc>
          <w:tcPr>
            <w:tcW w:type="dxa" w:w="1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Vendor / Mitra IT</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Third-party</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Procurement</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korporat; ITSM portal vendor</w:t>
            </w:r>
          </w:p>
        </w:tc>
        <w:tc>
          <w:tcPr>
            <w:tcW w:type="dxa" w:w="28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NDA wajib aktif; akses dibatasi sesuai lingkup kontrak</w:t>
            </w:r>
          </w:p>
        </w:tc>
      </w:tr>
      <w:tr>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Nasabah</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Customer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Customer Service / IT (jika terkait data breach)</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resmi; saluran CS resmi</w:t>
            </w:r>
          </w:p>
        </w:tc>
        <w:tc>
          <w:tcPr>
            <w:tcW w:type="dxa" w:w="2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boleh mengungkap detail teknis sistem ke nasabah</w:t>
            </w:r>
          </w:p>
        </w:tc>
      </w:tr>
      <w:tr>
        <w:tc>
          <w:tcPr>
            <w:tcW w:type="dxa" w:w="1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Konsultan / Auditor</w:t>
            </w:r>
          </w:p>
        </w:tc>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Assessor</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Internal Audit</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korporat; ruang data room terkontrol</w:t>
            </w:r>
          </w:p>
        </w:tc>
        <w:tc>
          <w:tcPr>
            <w:tcW w:type="dxa" w:w="28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Akses terbatas; NDA dan Non-Disclosure Agreement wajib</w:t>
            </w:r>
          </w:p>
        </w:tc>
      </w:tr>
      <w:tr>
        <w:tc>
          <w:tcPr>
            <w:tcW w:type="dxa" w:w="1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Media / Publik</w:t>
            </w:r>
          </w:p>
        </w:tc>
        <w:tc>
          <w:tcPr>
            <w:tcW w:type="dxa" w:w="1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Media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Corporate Communication (bukan IT)</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Pernyataan resmi tertulis saja</w:t>
            </w:r>
          </w:p>
        </w:tc>
        <w:tc>
          <w:tcPr>
            <w:tcW w:type="dxa" w:w="2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tidak boleh berbicara langsung dengan media</w:t>
            </w:r>
          </w:p>
        </w:tc>
      </w:tr>
    </w:tbl>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4.3.2  Ketentuan Komunikasi Eksternal</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Karyawan IT dilarang memberikan pernyataan kepada media atau publik tanpa persetujuan Corporate Communication dan Direktur.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Komunikasi dengan regulator (OJK) wajib diketahui dan disetujui oleh CISO dan/atau Direksi sebelum dikirimkan.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Informasi teknis yang mengandung detail kerentanan sistem, konfigurasi, atau arsitektur DILARANG dibagikan kepada pihak eksternal tanpa NDA dan persetujuan CISO.</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Vendor yang memerlukan akses ke sistem ELI wajib mendapat persetujuan tertulis dari IT Manager dan menandatangani NDA serta Acceptable Use Policy (AUP).</w:t>
      </w:r>
    </w:p>
    <w:p>
      <w:pPr>
        <w:spacing w:after="120"/>
      </w:pPr>
      <w:r>
        <w:t xml:space="preserve"/>
      </w:r>
    </w:p>
    <w:p>
      <w:pPr>
        <w:pStyle w:val="Heading2"/>
        <w:spacing w:before="240" w:after="120"/>
      </w:pPr>
      <w:r>
        <w:rPr>
          <w:rFonts w:ascii="Arial" w:cs="Arial" w:eastAsia="Arial" w:hAnsi="Arial"/>
          <w:b/>
          <w:bCs/>
          <w:i w:val="false"/>
          <w:iCs w:val="false"/>
          <w:color w:val="2D7A4F"/>
          <w:sz w:val="26"/>
          <w:szCs w:val="26"/>
        </w:rPr>
        <w:t xml:space="preserve">4.4 Komunikasi Keamanan Informasi (Security Communication)</w:t>
      </w:r>
    </w:p>
    <w:p>
      <w:pPr>
        <w:spacing w:before="0" w:after="100"/>
        <w:jc w:val="left"/>
      </w:pPr>
      <w:r>
        <w:rPr>
          <w:rFonts w:ascii="Arial" w:cs="Arial" w:eastAsia="Arial" w:hAnsi="Arial"/>
          <w:b w:val="false"/>
          <w:bCs w:val="false"/>
          <w:i w:val="false"/>
          <w:iCs w:val="false"/>
          <w:color w:val="1A1A1A"/>
          <w:sz w:val="20"/>
          <w:szCs w:val="20"/>
        </w:rPr>
        <w:t xml:space="preserve">4.4.1  Komunikasi Awareness &amp; Edukasi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Program security awareness wajib dikomunikasikan kepada seluruh karyawan minimal 1 (satu) kali per tahun melalui saluran resmi (email, intranet, pelatihan).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Perubahan kebijakan atau prosedur keamanan informasi wajib dikomunikasikan kepada pihak terdampak maksimal 5 (lima) hari kerja setelah kebijakan disetujui.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Ancaman siber yang relevan (threat intelligence) harus dikomunikasikan kepada tim IT Security dalam waktu 4 (empat) jam setelah terdeteksi oleh SOC.</w:t>
      </w:r>
    </w:p>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4.4.2  Komunikasi Audit &amp; Compliance</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Temuan audit keamanan informasi wajib dikomunikasikan kepada PIC departemen terkait dan manajemen dalam 2 (dua) hari kerja setelah laporan audit diterima.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Rencana tindak lanjut (corrective action plan) atas temuan audit wajib dikomunikasikan kepada CISO dan Internal Audit dalam 5 (lima) hari kerja.</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Status implementasi tindak lanjut dilaporkan bulanan kepada Steering Committee IT.</w:t>
      </w:r>
    </w:p>
    <w:p>
      <w:pPr>
        <w:spacing w:after="120"/>
      </w:pPr>
      <w:r>
        <w:t xml:space="preserve"/>
      </w:r>
    </w:p>
    <w:p>
      <w:pPr>
        <w:pStyle w:val="Heading2"/>
        <w:spacing w:before="240" w:after="120"/>
      </w:pPr>
      <w:r>
        <w:rPr>
          <w:rFonts w:ascii="Arial" w:cs="Arial" w:eastAsia="Arial" w:hAnsi="Arial"/>
          <w:b/>
          <w:bCs/>
          <w:i w:val="false"/>
          <w:iCs w:val="false"/>
          <w:color w:val="2D7A4F"/>
          <w:sz w:val="26"/>
          <w:szCs w:val="26"/>
        </w:rPr>
        <w:t xml:space="preserve">4.5 Komunikasi Insiden Keamanan Informasi</w:t>
      </w:r>
    </w:p>
    <w:p>
      <w:pPr>
        <w:spacing w:before="0" w:after="100"/>
        <w:jc w:val="left"/>
      </w:pPr>
      <w:r>
        <w:rPr>
          <w:rFonts w:ascii="Arial" w:cs="Arial" w:eastAsia="Arial" w:hAnsi="Arial"/>
          <w:b w:val="false"/>
          <w:bCs w:val="false"/>
          <w:i w:val="false"/>
          <w:iCs w:val="false"/>
          <w:color w:val="1A1A1A"/>
          <w:sz w:val="20"/>
          <w:szCs w:val="20"/>
        </w:rPr>
        <w:t xml:space="preserve">4.5.1  Kewajiban Pelaporan</w:t>
      </w:r>
    </w:p>
    <w:p>
      <w:pPr>
        <w:spacing w:before="0" w:after="100"/>
        <w:jc w:val="left"/>
      </w:pPr>
      <w:r>
        <w:rPr>
          <w:rFonts w:ascii="Arial" w:cs="Arial" w:eastAsia="Arial" w:hAnsi="Arial"/>
          <w:b w:val="false"/>
          <w:bCs w:val="false"/>
          <w:i w:val="false"/>
          <w:iCs w:val="false"/>
          <w:color w:val="1A1A1A"/>
          <w:sz w:val="20"/>
          <w:szCs w:val="20"/>
        </w:rPr>
        <w:t xml:space="preserve">Setiap karyawan, vendor, atau pihak terkait yang mengetahui atau mencurigai terjadinya insiden keamanan informasi WAJIB melaporkan segera melalui saluran resmi yang tersedia. Keterlambatan pelaporan yang disengaja merupakan pelanggaran serius.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D6EDE0" w:val="clear"/>
            <w:tcMar>
              <w:top w:type="dxa" w:w="100"/>
              <w:left w:type="dxa" w:w="200"/>
              <w:bottom w:type="dxa" w:w="100"/>
              <w:right w:type="dxa" w:w="200"/>
            </w:tcMar>
          </w:tcPr>
          <w:p>
            <w:pPr>
              <w:spacing w:before="0" w:after="80"/>
              <w:jc w:val="left"/>
            </w:pPr>
            <w:r>
              <w:rPr>
                <w:rFonts w:ascii="Arial" w:cs="Arial" w:eastAsia="Arial" w:hAnsi="Arial"/>
                <w:b w:val="false"/>
                <w:bCs w:val="false"/>
                <w:i w:val="false"/>
                <w:iCs w:val="false"/>
                <w:color w:val="1A1A1A"/>
                <w:sz w:val="19"/>
                <w:szCs w:val="19"/>
              </w:rPr>
              <w:t xml:space="preserve">Saluran pelaporan insiden: (1) Hotline SOC: ext. 1199  |  (2) Email: soc@equitylife.co.id  |  (3) Sistem Tiket ITSM  |  Laporan diterima 24/7</w:t>
            </w:r>
          </w:p>
        </w:tc>
      </w:tr>
    </w:tbl>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4.5.2  Matriks Eskalasi Komunikasi Insiden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960"/>
        <w:gridCol w:w="2200"/>
        <w:gridCol w:w="2500"/>
      </w:tblGrid>
      <w:tr>
        <w:tc>
          <w:tcPr>
            <w:tcW w:type="dxa" w:w="9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Severity</w:t>
            </w:r>
          </w:p>
        </w:tc>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Definisi</w:t>
            </w:r>
          </w:p>
        </w:tc>
        <w:tc>
          <w:tcPr>
            <w:tcW w:type="dxa" w:w="19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Notifikasi Internal (max.)</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Notifikasi Eksternal (max.)</w:t>
            </w:r>
          </w:p>
        </w:tc>
        <w:tc>
          <w:tcPr>
            <w:tcW w:type="dxa" w:w="2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Contoh</w:t>
            </w:r>
          </w:p>
        </w:tc>
      </w:tr>
      <w:tr>
        <w:tc>
          <w:tcPr>
            <w:tcW w:type="dxa" w:w="9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P1 — Kritis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Gangguan layanan kritikal, data breach aktif, ransomware</w:t>
            </w:r>
          </w:p>
        </w:tc>
        <w:tc>
          <w:tcPr>
            <w:tcW w:type="dxa" w:w="1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15 menit ke CISO, CTO, Direksi + War Room aktif</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OJK: 24 jam; Nasabah terdampak: 72 jam (PDPA)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Ransomware di core system; kebocoran data nasabah massal</w:t>
            </w:r>
          </w:p>
        </w:tc>
      </w:tr>
      <w:tr>
        <w:tc>
          <w:tcPr>
            <w:tcW w:type="dxa" w:w="9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P2 — Tinggi</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Gangguan layanan signifikan, ancaman aktif terdeteksi</w:t>
            </w:r>
          </w:p>
        </w:tc>
        <w:tc>
          <w:tcPr>
            <w:tcW w:type="dxa" w:w="1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 jam ke IT Manager, CISO</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OJK jika berdampak ke layanan nasabah: 3×24 jam</w:t>
            </w:r>
          </w:p>
        </w:tc>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DDoS attack; akses tidak sah ke database</w:t>
            </w:r>
          </w:p>
        </w:tc>
      </w:tr>
      <w:tr>
        <w:tc>
          <w:tcPr>
            <w:tcW w:type="dxa" w:w="9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P3 — Sedang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Anomali keamanan, insiden terbatas</w:t>
            </w:r>
          </w:p>
        </w:tc>
        <w:tc>
          <w:tcPr>
            <w:tcW w:type="dxa" w:w="1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4 jam ke IT Security Team</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ada (kecuali diminta)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Brute force terdeteksi; malware terisolasi</w:t>
            </w:r>
          </w:p>
        </w:tc>
      </w:tr>
      <w:tr>
        <w:tc>
          <w:tcPr>
            <w:tcW w:type="dxa" w:w="9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P4 — Rendah</w:t>
            </w:r>
          </w:p>
        </w:tc>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Pelanggaran minor, policy violation</w:t>
            </w:r>
          </w:p>
        </w:tc>
        <w:tc>
          <w:tcPr>
            <w:tcW w:type="dxa" w:w="1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Hari kerja berikutnya ke supervisor</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Tidak ada</w:t>
            </w:r>
          </w:p>
        </w:tc>
        <w:tc>
          <w:tcPr>
            <w:tcW w:type="dxa" w:w="25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Password sharing; penggunaan software tidak resmi</w:t>
            </w:r>
          </w:p>
        </w:tc>
      </w:tr>
    </w:tbl>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4.5.3  Konten Komunikasi Insiden</w:t>
      </w:r>
    </w:p>
    <w:p>
      <w:pPr>
        <w:spacing w:before="0" w:after="100"/>
        <w:jc w:val="left"/>
      </w:pPr>
      <w:r>
        <w:rPr>
          <w:rFonts w:ascii="Arial" w:cs="Arial" w:eastAsia="Arial" w:hAnsi="Arial"/>
          <w:b w:val="false"/>
          <w:bCs w:val="false"/>
          <w:i w:val="false"/>
          <w:iCs w:val="false"/>
          <w:color w:val="1A1A1A"/>
          <w:sz w:val="20"/>
          <w:szCs w:val="20"/>
        </w:rPr>
        <w:t xml:space="preserve">Setiap komunikasi insiden (internal maupun eksternal) wajib mencakup:</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Waktu kejadian dan waktu deteksi.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Deskripsi singkat insiden dan sistem/data yang terdampak.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Dampak aktual dan potensi dampak lebih lanjut.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Tindakan penanggulangan yang sudah atau sedang dilakukan.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PIC dan kontak yang dapat dihubungi.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Estimasi waktu pemulihan (RTO) jika tersedia.</w:t>
      </w:r>
    </w:p>
    <w:p>
      <w:pPr>
        <w:spacing w:before="0" w:after="100"/>
        <w:jc w:val="left"/>
      </w:pPr>
      <w:r>
        <w:rPr>
          <w:rFonts w:ascii="Arial" w:cs="Arial" w:eastAsia="Arial" w:hAnsi="Arial"/>
          <w:b w:val="false"/>
          <w:bCs w:val="false"/>
          <w:i w:val="false"/>
          <w:iCs w:val="false"/>
          <w:color w:val="1A1A1A"/>
          <w:sz w:val="20"/>
          <w:szCs w:val="20"/>
        </w:rPr>
        <w:t xml:space="preserve">Informasi yang TIDAK BOLEH dikomunikasikan sebelum disetujui CISO:</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Detail teknis eksploitasi (vulnerability details, attack vector).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Jumlah pasti data yang terekspos sebelum verifikasi forensik.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Identitas pelaku atau tersangka insiden.</w:t>
      </w:r>
    </w:p>
    <w:p>
      <w:pPr>
        <w:spacing w:after="120"/>
      </w:pPr>
      <w:r>
        <w:t xml:space="preserve"/>
      </w:r>
    </w:p>
    <w:p>
      <w:pPr>
        <w:pStyle w:val="Heading2"/>
        <w:spacing w:before="240" w:after="120"/>
      </w:pPr>
      <w:r>
        <w:rPr>
          <w:rFonts w:ascii="Arial" w:cs="Arial" w:eastAsia="Arial" w:hAnsi="Arial"/>
          <w:b/>
          <w:bCs/>
          <w:i w:val="false"/>
          <w:iCs w:val="false"/>
          <w:color w:val="2D7A4F"/>
          <w:sz w:val="26"/>
          <w:szCs w:val="26"/>
        </w:rPr>
        <w:t xml:space="preserve">4.6 Komunikasi Change Management</w:t>
      </w:r>
    </w:p>
    <w:p>
      <w:pPr>
        <w:spacing w:before="0" w:after="100"/>
        <w:jc w:val="left"/>
      </w:pPr>
      <w:r>
        <w:rPr>
          <w:rFonts w:ascii="Arial" w:cs="Arial" w:eastAsia="Arial" w:hAnsi="Arial"/>
          <w:b w:val="false"/>
          <w:bCs w:val="false"/>
          <w:i w:val="false"/>
          <w:iCs w:val="false"/>
          <w:color w:val="1A1A1A"/>
          <w:sz w:val="20"/>
          <w:szCs w:val="20"/>
        </w:rPr>
        <w:t xml:space="preserve">Setiap perubahan sistem yang termasuk kategori Normal, Major, atau Emergency wajib dikomunikasikan sesuai ketentuan berikut: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700"/>
        <w:gridCol w:w="1560"/>
        <w:gridCol w:w="2700"/>
      </w:tblGrid>
      <w:tr>
        <w:tc>
          <w:tcPr>
            <w:tcW w:type="dxa" w:w="1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Tipe Change</w:t>
            </w:r>
          </w:p>
        </w:tc>
        <w:tc>
          <w:tcPr>
            <w:tcW w:type="dxa" w:w="20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Kepada Siapa</w:t>
            </w:r>
          </w:p>
        </w:tc>
        <w:tc>
          <w:tcPr>
            <w:tcW w:type="dxa" w:w="1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Waktu Notifikasi</w:t>
            </w:r>
          </w:p>
        </w:tc>
        <w:tc>
          <w:tcPr>
            <w:tcW w:type="dxa" w:w="1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Saluran</w:t>
            </w:r>
          </w:p>
        </w:tc>
        <w:tc>
          <w:tcPr>
            <w:tcW w:type="dxa" w:w="2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Konten Minimum</w:t>
            </w:r>
          </w:p>
        </w:tc>
      </w:tr>
      <w:tr>
        <w:tc>
          <w:tcPr>
            <w:tcW w:type="dxa" w:w="1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Standard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Tim IT relevan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Bersamaan dengan eksekusi</w:t>
            </w:r>
          </w:p>
        </w:tc>
        <w:tc>
          <w:tcPr>
            <w:tcW w:type="dxa" w:w="1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ITSM/tiket</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Nama perubahan, jadwal, PIC</w:t>
            </w:r>
          </w:p>
        </w:tc>
      </w:tr>
      <w:tr>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Normal</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CAB, user terdampak, IT Ops</w:t>
            </w:r>
          </w:p>
        </w:tc>
        <w:tc>
          <w:tcPr>
            <w:tcW w:type="dxa" w:w="1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Min. 5 hari kerja sebelum</w:t>
            </w:r>
          </w:p>
        </w:tc>
        <w:tc>
          <w:tcPr>
            <w:tcW w:type="dxa" w:w="1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 agenda CAB</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RFC, risk assessment, rollback plan, schedule</w:t>
            </w:r>
          </w:p>
        </w:tc>
      </w:tr>
      <w:tr>
        <w:tc>
          <w:tcPr>
            <w:tcW w:type="dxa" w:w="14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Major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CAB, Manajemen, user terdampak, stakeholder bisnis</w:t>
            </w:r>
          </w:p>
        </w:tc>
        <w:tc>
          <w:tcPr>
            <w:tcW w:type="dxa" w:w="1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Min. 10 hari kerja sebelum</w:t>
            </w:r>
          </w:p>
        </w:tc>
        <w:tc>
          <w:tcPr>
            <w:tcW w:type="dxa" w:w="1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 CAB Forum resmi</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RFC lengkap, capacity impact, ELS plan, PIR schedule</w:t>
            </w:r>
          </w:p>
        </w:tc>
      </w:tr>
      <w:tr>
        <w:tc>
          <w:tcPr>
            <w:tcW w:type="dxa" w:w="1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Emergency</w:t>
            </w:r>
          </w:p>
        </w:tc>
        <w:tc>
          <w:tcPr>
            <w:tcW w:type="dxa" w:w="20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CISO, user terdampak</w:t>
            </w:r>
          </w:p>
        </w:tc>
        <w:tc>
          <w:tcPr>
            <w:tcW w:type="dxa" w:w="1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Sebelum implementasi (verbal + tiket dalam 1 jam)</w:t>
            </w:r>
          </w:p>
        </w:tc>
        <w:tc>
          <w:tcPr>
            <w:tcW w:type="dxa" w:w="1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Telepon + email + ITSM</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Alasan urgensi, risiko jika tidak dilakukan, approver emergency</w:t>
            </w:r>
          </w:p>
        </w:tc>
      </w:tr>
    </w:tbl>
    <w:p>
      <w:pPr>
        <w:spacing w:after="80"/>
      </w:pPr>
      <w:r>
        <w:t xml:space="preserve"/>
      </w:r>
    </w:p>
    <w:p>
      <w:pPr>
        <w:spacing w:before="0" w:after="100"/>
        <w:jc w:val="left"/>
      </w:pPr>
      <w:r>
        <w:rPr>
          <w:rFonts w:ascii="Arial" w:cs="Arial" w:eastAsia="Arial" w:hAnsi="Arial"/>
          <w:b w:val="false"/>
          <w:bCs w:val="false"/>
          <w:i w:val="false"/>
          <w:iCs w:val="false"/>
          <w:color w:val="1A1A1A"/>
          <w:sz w:val="20"/>
          <w:szCs w:val="20"/>
        </w:rPr>
        <w:t xml:space="preserve">Change Freeze Communication: seluruh unit bisnis dan vendor wajib diberitahu mengenai periode Change Freeze minimal 2 (dua) minggu sebelumnya melalui email resmi dari IT Manager.</w:t>
      </w:r>
    </w:p>
    <w:p>
      <w:pPr>
        <w:spacing w:after="120"/>
      </w:pPr>
      <w:r>
        <w:t xml:space="preserve"/>
      </w:r>
    </w:p>
    <w:p>
      <w:pPr>
        <w:pStyle w:val="Heading2"/>
        <w:spacing w:before="240" w:after="120"/>
      </w:pPr>
      <w:r>
        <w:rPr>
          <w:rFonts w:ascii="Arial" w:cs="Arial" w:eastAsia="Arial" w:hAnsi="Arial"/>
          <w:b/>
          <w:bCs/>
          <w:i w:val="false"/>
          <w:iCs w:val="false"/>
          <w:color w:val="2D7A4F"/>
          <w:sz w:val="26"/>
          <w:szCs w:val="26"/>
        </w:rPr>
        <w:t xml:space="preserve">4.7 Komunikasi Pemulihan Bencana (DR Communication)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Apabila Business Continuity Plan (BCP) atau Disaster Recovery Plan (DRP) diaktifkan, CISO atau IT Manager wajib menjadi communication focal point untuk seluruh komunikasi teknis.</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Komunikasi kepada seluruh karyawan mengenai status layanan IT dilakukan melalui intranet dan email blast dalam waktu 30 menit setelah DRP diaktifkan.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Update status pemulihan wajib diberikan setiap 2 (dua) jam kepada Direksi hingga layanan normal pulih.</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Komunikasi kepada nasabah terkait gangguan layanan dikelola oleh Customer Service dengan panduan dari IT, menggunakan pesan yang telah disetujui oleh Corporate Communication dan Direksi.</w:t>
      </w:r>
    </w:p>
    <w:p>
      <w:pPr>
        <w:spacing w:after="120"/>
      </w:pPr>
      <w:r>
        <w:t xml:space="preserve"/>
      </w:r>
    </w:p>
    <w:p>
      <w:pPr>
        <w:pStyle w:val="Heading2"/>
        <w:spacing w:before="240" w:after="120"/>
      </w:pPr>
      <w:r>
        <w:rPr>
          <w:rFonts w:ascii="Arial" w:cs="Arial" w:eastAsia="Arial" w:hAnsi="Arial"/>
          <w:b/>
          <w:bCs/>
          <w:i w:val="false"/>
          <w:iCs w:val="false"/>
          <w:color w:val="2D7A4F"/>
          <w:sz w:val="26"/>
          <w:szCs w:val="26"/>
        </w:rPr>
        <w:t xml:space="preserve">4.8 Kerahasiaan dan Klasifikasi Informasi dalam Komunikasi</w:t>
      </w:r>
    </w:p>
    <w:p>
      <w:pPr>
        <w:spacing w:before="0" w:after="100"/>
        <w:jc w:val="left"/>
      </w:pPr>
      <w:r>
        <w:rPr>
          <w:rFonts w:ascii="Arial" w:cs="Arial" w:eastAsia="Arial" w:hAnsi="Arial"/>
          <w:b w:val="false"/>
          <w:bCs w:val="false"/>
          <w:i w:val="false"/>
          <w:iCs w:val="false"/>
          <w:color w:val="1A1A1A"/>
          <w:sz w:val="20"/>
          <w:szCs w:val="20"/>
        </w:rPr>
        <w:t xml:space="preserve">Seluruh komunikasi harus memperhatikan klasifikasi informasi yang dikandungnya: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Klasifikasi Informasi</w:t>
            </w:r>
          </w:p>
        </w:tc>
        <w:tc>
          <w:tcPr>
            <w:tcW w:type="dxa" w:w="43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Ketentuan Komunikasi</w:t>
            </w:r>
          </w:p>
        </w:tc>
        <w:tc>
          <w:tcPr>
            <w:tcW w:type="dxa" w:w="3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Contoh</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TERBATAS (Top Secret)</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Hanya boleh dikomunikasikan secara langsung (tatap muka/telepon terenkripsi) kepada Direksi dan CISO. Tidak boleh melalui email atau chat.</w:t>
            </w:r>
          </w:p>
        </w:tc>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Rencana merger/akuisisi; temuan forensik insiden aktif</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RAHASIA (Confidential)</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korporat terenkripsi atau sistem terproteksi. Tidak boleh diteruskan tanpa izin. Watermark wajib pada dokumen.</w:t>
            </w:r>
          </w:p>
        </w:tc>
        <w:tc>
          <w:tcPr>
            <w:tcW w:type="dxa" w:w="3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Data nasabah; konfigurasi sistem; hasil penetration test</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INTERNAL (Internal Only)</w:t>
            </w:r>
          </w:p>
        </w:tc>
        <w:tc>
          <w:tcPr>
            <w:tcW w:type="dxa" w:w="43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Saluran korporat resmi. Tidak boleh dibagikan ke luar organisasi.</w:t>
            </w:r>
          </w:p>
        </w:tc>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SOP internal; laporan kinerja IT; notulen CAB</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PUBLIK (Public)</w:t>
            </w:r>
          </w:p>
        </w:tc>
        <w:tc>
          <w:tcPr>
            <w:tcW w:type="dxa" w:w="43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Boleh dikomunikasikan melalui saluran apa pun, termasuk media sosial resmi ELI.</w:t>
            </w:r>
          </w:p>
        </w:tc>
        <w:tc>
          <w:tcPr>
            <w:tcW w:type="dxa" w:w="3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Pengumuman layanan; press release yang telah disetujui</w:t>
            </w:r>
          </w:p>
        </w:tc>
      </w:tr>
    </w:tbl>
    <w:p>
      <w:pPr>
        <w:spacing w:after="120"/>
      </w:pPr>
      <w:r>
        <w:t xml:space="preserve"/>
      </w:r>
    </w:p>
    <w:p>
      <w:pPr>
        <w:pStyle w:val="Heading2"/>
        <w:spacing w:before="240" w:after="120"/>
      </w:pPr>
      <w:r>
        <w:rPr>
          <w:rFonts w:ascii="Arial" w:cs="Arial" w:eastAsia="Arial" w:hAnsi="Arial"/>
          <w:b/>
          <w:bCs/>
          <w:i w:val="false"/>
          <w:iCs w:val="false"/>
          <w:color w:val="2D7A4F"/>
          <w:sz w:val="26"/>
          <w:szCs w:val="26"/>
        </w:rPr>
        <w:t xml:space="preserve">4.9 Pelanggaran dan Sanksi</w:t>
      </w:r>
    </w:p>
    <w:p>
      <w:pPr>
        <w:spacing w:before="0" w:after="100"/>
        <w:jc w:val="left"/>
      </w:pPr>
      <w:r>
        <w:rPr>
          <w:rFonts w:ascii="Arial" w:cs="Arial" w:eastAsia="Arial" w:hAnsi="Arial"/>
          <w:b w:val="false"/>
          <w:bCs w:val="false"/>
          <w:i w:val="false"/>
          <w:iCs w:val="false"/>
          <w:color w:val="1A1A1A"/>
          <w:sz w:val="20"/>
          <w:szCs w:val="20"/>
        </w:rPr>
        <w:t xml:space="preserve">Pelanggaran terhadap kebijakan komunikasi ini akan ditindaklanjuti sesuai ketentuan berikut: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Jenis Pelanggaran</w:t>
            </w:r>
          </w:p>
        </w:tc>
        <w:tc>
          <w:tcPr>
            <w:tcW w:type="dxa" w:w="37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Sanksi</w:t>
            </w:r>
          </w:p>
        </w:tc>
        <w:tc>
          <w:tcPr>
            <w:tcW w:type="dxa" w:w="24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Dasar ISO</w:t>
            </w:r>
          </w:p>
        </w:tc>
      </w:tr>
      <w:tr>
        <w:tc>
          <w:tcPr>
            <w:tcW w:type="dxa" w:w="3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Menggunakan saluran tidak resmi untuk informasi Rahasia</w:t>
            </w:r>
          </w:p>
        </w:tc>
        <w:tc>
          <w:tcPr>
            <w:tcW w:type="dxa" w:w="3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pencabutan akses komunikasi resmi</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A.5.3, A.8.3</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Tidak melaporkan insiden keamanan informasi tepat waktu</w:t>
            </w:r>
          </w:p>
        </w:tc>
        <w:tc>
          <w:tcPr>
            <w:tcW w:type="dxa" w:w="3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hingga SP-1; eskalasi ke HR</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A.6.3, A.8.16</w:t>
            </w:r>
          </w:p>
        </w:tc>
      </w:tr>
      <w:tr>
        <w:tc>
          <w:tcPr>
            <w:tcW w:type="dxa" w:w="3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Membocorkan informasi Terbatas/Rahasia ke pihak tidak berwenang</w:t>
            </w:r>
          </w:p>
        </w:tc>
        <w:tc>
          <w:tcPr>
            <w:tcW w:type="dxa" w:w="3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SP-2 hingga pemutusan hubungan kerja; tindakan hukum</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A.5.3, A.6.1</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Berbicara kepada media tanpa otorisasi</w:t>
            </w:r>
          </w:p>
        </w:tc>
        <w:tc>
          <w:tcPr>
            <w:tcW w:type="dxa" w:w="3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eskalasi ke Corporate Communication + Direksi</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A.6.1</w:t>
            </w:r>
          </w:p>
        </w:tc>
      </w:tr>
      <w:tr>
        <w:tc>
          <w:tcPr>
            <w:tcW w:type="dxa" w:w="3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Memberikan informasi teknis sistem kepada vendor tanpa NDA/CISO approval</w:t>
            </w:r>
          </w:p>
        </w:tc>
        <w:tc>
          <w:tcPr>
            <w:tcW w:type="dxa" w:w="37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Teguran tertulis; investigasi insiden; penangguhan kerja sama vendor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A.5.1, A.6.2</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Mengabaikan Change Freeze communication</w:t>
            </w:r>
          </w:p>
        </w:tc>
        <w:tc>
          <w:tcPr>
            <w:tcW w:type="dxa" w:w="37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ELI-FORM-ITS-004 (Teguran Pelanggaran); rollback wajib</w:t>
            </w:r>
          </w:p>
        </w:tc>
        <w:tc>
          <w:tcPr>
            <w:tcW w:type="dxa" w:w="24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ELI-POL-ITS-003</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5. PERAN DAN TANGGUNG JAWAB</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Peran / Jabatan</w:t>
            </w:r>
          </w:p>
        </w:tc>
        <w:tc>
          <w:tcPr>
            <w:tcW w:type="dxa" w:w="58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Tanggung Jawab</w:t>
            </w:r>
          </w:p>
        </w:tc>
      </w:tr>
      <w:tr>
        <w:tc>
          <w:tcPr>
            <w:tcW w:type="dxa" w:w="3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CISO / Kepala IT Security</w:t>
            </w:r>
          </w:p>
        </w:tc>
        <w:tc>
          <w:tcPr>
            <w:tcW w:type="dxa" w:w="5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Pemilik kebijakan; otoritas tertinggi komunikasi insiden; menyetujui semua komunikasi eksternal terkait keamanan informasi; memimpin War Room saat P1.</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IT Manager</w:t>
            </w:r>
          </w:p>
        </w:tc>
        <w:tc>
          <w:tcPr>
            <w:tcW w:type="dxa" w:w="58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Mengkoordinasikan komunikasi Change Management (CAB, Change Freeze, ELS); mengelola komunikasi vendor dan third-party; bertanggung jawab atas komunikasi DR.</w:t>
            </w:r>
          </w:p>
        </w:tc>
      </w:tr>
      <w:tr>
        <w:tc>
          <w:tcPr>
            <w:tcW w:type="dxa" w:w="3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IT Security Team / SOC</w:t>
            </w:r>
          </w:p>
        </w:tc>
        <w:tc>
          <w:tcPr>
            <w:tcW w:type="dxa" w:w="5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Memantau ancaman; mengkomunikasikan threat intelligence; mengelola eskalasi insiden P1–P3; mendistribusikan security awareness.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IT Communication Officer</w:t>
            </w:r>
          </w:p>
        </w:tc>
        <w:tc>
          <w:tcPr>
            <w:tcW w:type="dxa" w:w="58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Mengelola komunikasi intranet, wiki, dan pengumuman IT kepada seluruh karyawan; memastikan kebijakan dan SOP terkini terdistribusi.</w:t>
            </w:r>
          </w:p>
        </w:tc>
      </w:tr>
      <w:tr>
        <w:tc>
          <w:tcPr>
            <w:tcW w:type="dxa" w:w="3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Release Manager</w:t>
            </w:r>
          </w:p>
        </w:tc>
        <w:tc>
          <w:tcPr>
            <w:tcW w:type="dxa" w:w="5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Mengkomunikasikan RFC, jadwal deployment, Change Window, dan status ELS kepada stakeholder terkait sesuai SOP Communication Plan.</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Data Protection Officer (DPO)</w:t>
            </w:r>
          </w:p>
        </w:tc>
        <w:tc>
          <w:tcPr>
            <w:tcW w:type="dxa" w:w="58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Memimpin komunikasi yang berkaitan dengan pelanggaran data pribadi kepada regulator (OJK, BSSN) dan nasabah terdampak sesuai PDPA.</w:t>
            </w:r>
          </w:p>
        </w:tc>
      </w:tr>
      <w:tr>
        <w:tc>
          <w:tcPr>
            <w:tcW w:type="dxa" w:w="35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Semua Karyawan / End-User</w:t>
            </w:r>
          </w:p>
        </w:tc>
        <w:tc>
          <w:tcPr>
            <w:tcW w:type="dxa" w:w="58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Melaporkan insiden keamanan informasi yang diketahui melalui saluran resmi; tidak membocorkan informasi rahasia; mengikuti program awareness.</w:t>
            </w:r>
          </w:p>
        </w:tc>
      </w:tr>
      <w:tr>
        <w:tc>
          <w:tcPr>
            <w:tcW w:type="dxa" w:w="35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Vendor / Pihak Ketiga</w:t>
            </w:r>
          </w:p>
        </w:tc>
        <w:tc>
          <w:tcPr>
            <w:tcW w:type="dxa" w:w="58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Melaporkan insiden atau anomali yang terdeteksi pada sistem ELI segera kepada IT Manager; berkomunikasi hanya melalui saluran resmi yang disepakati dalam kontrak.</w:t>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6. DOKUMENTASI DAN PENGARSIPAN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Seluruh komunikasi resmi terkait insiden P1/P2, keputusan CAB, notifikasi regulator, dan komunikasi DR wajib diarsipkan minimal 5 (lima) tahun.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Arsip email korporat dikelola oleh IT Operations dengan retensi minimum 3 (tiga) tahun sesuai regulasi POJK.</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Notulen rapat CAB, PIR, dan Steering Committee IT diarsipkan secara permanen dalam sistem manajemen dokumen ELI.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Log komunikasi sistem tiket (ITSM) tidak boleh dihapus dan dipertahankan selama sistem aktif beroperasi.</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Bukti komunikasi insiden (screenshot, export log, email thread) menjadi bagian dari dokumen bukti forensik dan harus dijaga integritas serta rantai pengawasannya.</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7. TINJAUAN DAN PEMBARUAN KEBIJAKAN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Kebijakan ini ditinjau secara berkala minimal 1 (satu) kali per tahun oleh CISO dan IT Manager.</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Tinjauan luar jadwal dilakukan jika terjadi: perubahan struktur organisasi yang signifikan, perubahan regulasi OJK/BSSN, insiden keamanan berskala besar, atau perubahan framework ISO yang relevan.</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Setiap perubahan pada kebijakan ini wajib dikomunikasikan kepada seluruh karyawan terdampak dalam 5 (lima) hari kerja melalui email resmi dan intranet.</w:t>
      </w:r>
    </w:p>
    <w:p>
      <w:pPr>
        <w:pStyle w:val="ListParagraph"/>
        <w:numPr>
          <w:ilvl w:val="0"/>
          <w:numId w:val="2"/>
        </w:numPr>
        <w:spacing w:before="0" w:after="60"/>
      </w:pPr>
      <w:r>
        <w:rPr>
          <w:rFonts w:ascii="Arial" w:cs="Arial" w:eastAsia="Arial" w:hAnsi="Arial"/>
          <w:b w:val="false"/>
          <w:bCs w:val="false"/>
          <w:i w:val="false"/>
          <w:iCs w:val="false"/>
          <w:color w:val="1A1A1A"/>
          <w:sz w:val="20"/>
          <w:szCs w:val="20"/>
        </w:rPr>
        <w:t xml:space="preserve">Versi sebelumnya dipertahankan dalam arsip dengan status 'Tidak Berlaku'.</w:t>
      </w:r>
    </w:p>
    <w:p>
      <w:pPr>
        <w:spacing w:after="120"/>
      </w:pPr>
      <w:r>
        <w:t xml:space="preserve"/>
      </w:r>
    </w:p>
    <w:p>
      <w:pPr>
        <w:pStyle w:val="Heading1"/>
        <w:pageBreakBefore/>
      </w:pPr>
      <w:r>
        <w:rPr>
          <w:rFonts w:ascii="Arial" w:cs="Arial" w:eastAsia="Arial" w:hAnsi="Arial"/>
          <w:b/>
          <w:bCs/>
          <w:i w:val="false"/>
          <w:iCs w:val="false"/>
          <w:color w:val="1B4D35"/>
          <w:sz w:val="36"/>
          <w:szCs w:val="36"/>
        </w:rPr>
        <w:t xml:space="preserve">8. PERSETUJUAN DAN PENGESAHAN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Jabatan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Nama</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Tanda Tangan</w:t>
            </w:r>
          </w:p>
        </w:tc>
        <w:tc>
          <w:tcPr>
            <w:tcW w:type="dxa" w:w="234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center"/>
            </w:pPr>
            <w:r>
              <w:rPr>
                <w:rFonts w:ascii="Arial" w:cs="Arial" w:eastAsia="Arial" w:hAnsi="Arial"/>
                <w:b/>
                <w:bCs/>
                <w:i w:val="false"/>
                <w:iCs w:val="false"/>
                <w:color w:val="FFFFFF"/>
                <w:sz w:val="20"/>
                <w:szCs w:val="20"/>
              </w:rPr>
              <w:t xml:space="preserve">Tanggal</w:t>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Penyusun — IT Security Team</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Reviewer — IT Manager</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Reviewer — Internal Audit / Compliance</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Pengesah — CISO</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r>
        <w:tc>
          <w:tcPr>
            <w:tcW w:type="dxa" w:w="234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Pengesah — Direktur Utama</w:t>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c>
          <w:tcPr>
            <w:tcW w:type="dxa" w:w="234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
            </w:r>
          </w:p>
        </w:tc>
      </w:tr>
    </w:tbl>
    <w:p>
      <w:pPr>
        <w:spacing w:after="120"/>
      </w:pPr>
      <w:r>
        <w:t xml:space="preserve"/>
      </w:r>
    </w:p>
    <w:p>
      <w:pPr>
        <w:pStyle w:val="Heading1"/>
        <w:pageBreakBefore/>
      </w:pPr>
      <w:r>
        <w:rPr>
          <w:rFonts w:ascii="Arial" w:cs="Arial" w:eastAsia="Arial" w:hAnsi="Arial"/>
          <w:b/>
          <w:bCs/>
          <w:i w:val="false"/>
          <w:iCs w:val="false"/>
          <w:color w:val="1B4D35"/>
          <w:sz w:val="36"/>
          <w:szCs w:val="36"/>
        </w:rPr>
        <w:t xml:space="preserve">9. LAMPIRAN</w:t>
      </w:r>
    </w:p>
    <w:p>
      <w:pPr>
        <w:pStyle w:val="Heading2"/>
        <w:spacing w:before="240" w:after="120"/>
      </w:pPr>
      <w:r>
        <w:rPr>
          <w:rFonts w:ascii="Arial" w:cs="Arial" w:eastAsia="Arial" w:hAnsi="Arial"/>
          <w:b/>
          <w:bCs/>
          <w:i w:val="false"/>
          <w:iCs w:val="false"/>
          <w:color w:val="2D7A4F"/>
          <w:sz w:val="26"/>
          <w:szCs w:val="26"/>
        </w:rPr>
        <w:t xml:space="preserve">Lampiran A — Matriks Komunikasi Cepat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D6EDE0" w:val="clear"/>
            <w:tcMar>
              <w:top w:type="dxa" w:w="100"/>
              <w:left w:type="dxa" w:w="200"/>
              <w:bottom w:type="dxa" w:w="100"/>
              <w:right w:type="dxa" w:w="200"/>
            </w:tcMar>
          </w:tcPr>
          <w:p>
            <w:pPr>
              <w:spacing w:before="0" w:after="80"/>
              <w:jc w:val="left"/>
            </w:pPr>
            <w:r>
              <w:rPr>
                <w:rFonts w:ascii="Arial" w:cs="Arial" w:eastAsia="Arial" w:hAnsi="Arial"/>
                <w:b w:val="false"/>
                <w:bCs w:val="false"/>
                <w:i w:val="false"/>
                <w:iCs w:val="false"/>
                <w:color w:val="1A1A1A"/>
                <w:sz w:val="19"/>
                <w:szCs w:val="19"/>
              </w:rPr>
              <w:t xml:space="preserve">Matriks ini adalah referensi cepat. Untuk detail lengkap, rujuk ke SOP Communication Plan (ELI-SOP-ITS-004).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100"/>
        <w:gridCol w:w="1560"/>
        <w:gridCol w:w="2700"/>
      </w:tblGrid>
      <w:tr>
        <w:tc>
          <w:tcPr>
            <w:tcW w:type="dxa" w:w="18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Skenario</w:t>
            </w:r>
          </w:p>
        </w:tc>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Komunikasikan kepada</w:t>
            </w:r>
          </w:p>
        </w:tc>
        <w:tc>
          <w:tcPr>
            <w:tcW w:type="dxa" w:w="11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Dalam waktu</w:t>
            </w:r>
          </w:p>
        </w:tc>
        <w:tc>
          <w:tcPr>
            <w:tcW w:type="dxa" w:w="15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Saluran</w:t>
            </w:r>
          </w:p>
        </w:tc>
        <w:tc>
          <w:tcPr>
            <w:tcW w:type="dxa" w:w="27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Dokumen terkait</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Insiden P1 terdeteksi</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CTO, Direksi, War Room</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15 menit</w:t>
            </w:r>
          </w:p>
        </w:tc>
        <w:tc>
          <w:tcPr>
            <w:tcW w:type="dxa" w:w="1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Telepon + Teams</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ELI-SOP-ITS-004, Section 4.3</w:t>
            </w:r>
          </w:p>
        </w:tc>
      </w:tr>
      <w:tr>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Notifikasi OJK insiden</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CISO → DPO → OJK</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24 jam</w:t>
            </w:r>
          </w:p>
        </w:tc>
        <w:tc>
          <w:tcPr>
            <w:tcW w:type="dxa" w:w="1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Surat resmi + email</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POJK No.11/2022</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Change Freeze dimulai</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unit bisnis + vendor</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2 minggu sebelum</w:t>
            </w:r>
          </w:p>
        </w:tc>
        <w:tc>
          <w:tcPr>
            <w:tcW w:type="dxa" w:w="1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blast + intranet</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ELI-POL-ITS-003</w:t>
            </w:r>
          </w:p>
        </w:tc>
      </w:tr>
      <w:tr>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RFC Normal diajukan</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CAB, user terdampak</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5 hari kerja sebelum</w:t>
            </w:r>
          </w:p>
        </w:tc>
        <w:tc>
          <w:tcPr>
            <w:tcW w:type="dxa" w:w="1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 ITSM</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ELI-FORM-ITS-001</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RFC Major diajukan</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CAB, Manajemen, stakeholder</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10 hari kerja sebelum</w:t>
            </w:r>
          </w:p>
        </w:tc>
        <w:tc>
          <w:tcPr>
            <w:tcW w:type="dxa" w:w="1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 CAB Forum</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ELI-FORM-ITS-001</w:t>
            </w:r>
          </w:p>
        </w:tc>
      </w:tr>
      <w:tr>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baru diterbitkan</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Semua karyawan terdampak</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5 hari kerja</w:t>
            </w:r>
          </w:p>
        </w:tc>
        <w:tc>
          <w:tcPr>
            <w:tcW w:type="dxa" w:w="1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 intranet</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ELI-POL-ITS-004</w:t>
            </w:r>
          </w:p>
        </w:tc>
      </w:tr>
      <w:tr>
        <w:tc>
          <w:tcPr>
            <w:tcW w:type="dxa" w:w="18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Vendor butuh akses sistem</w:t>
            </w:r>
          </w:p>
        </w:tc>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IT Manager + CISO</w:t>
            </w:r>
          </w:p>
        </w:tc>
        <w:tc>
          <w:tcPr>
            <w:tcW w:type="dxa" w:w="11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Sebelum akses diberikan</w:t>
            </w:r>
          </w:p>
        </w:tc>
        <w:tc>
          <w:tcPr>
            <w:tcW w:type="dxa" w:w="15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resmi + ITSM</w:t>
            </w:r>
          </w:p>
        </w:tc>
        <w:tc>
          <w:tcPr>
            <w:tcW w:type="dxa" w:w="27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NDA + AUP ELI</w:t>
            </w:r>
          </w:p>
        </w:tc>
      </w:tr>
      <w:tr>
        <w:tc>
          <w:tcPr>
            <w:tcW w:type="dxa" w:w="18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DRP diaktifkan</w:t>
            </w:r>
          </w:p>
        </w:tc>
        <w:tc>
          <w:tcPr>
            <w:tcW w:type="dxa" w:w="2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Seluruh karyawan + Direksi</w:t>
            </w:r>
          </w:p>
        </w:tc>
        <w:tc>
          <w:tcPr>
            <w:tcW w:type="dxa" w:w="11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30 menit</w:t>
            </w:r>
          </w:p>
        </w:tc>
        <w:tc>
          <w:tcPr>
            <w:tcW w:type="dxa" w:w="15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Email blast + intranet</w:t>
            </w:r>
          </w:p>
        </w:tc>
        <w:tc>
          <w:tcPr>
            <w:tcW w:type="dxa" w:w="27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DRP/BCP ELI</w:t>
            </w:r>
          </w:p>
        </w:tc>
      </w:tr>
    </w:tbl>
    <w:p>
      <w:pPr>
        <w:spacing w:after="80"/>
      </w:pPr>
      <w:r>
        <w:t xml:space="preserve"/>
      </w:r>
    </w:p>
    <w:p>
      <w:pPr>
        <w:pStyle w:val="Heading2"/>
        <w:spacing w:before="240" w:after="120"/>
      </w:pPr>
      <w:r>
        <w:rPr>
          <w:rFonts w:ascii="Arial" w:cs="Arial" w:eastAsia="Arial" w:hAnsi="Arial"/>
          <w:b/>
          <w:bCs/>
          <w:i w:val="false"/>
          <w:iCs w:val="false"/>
          <w:color w:val="2D7A4F"/>
          <w:sz w:val="26"/>
          <w:szCs w:val="26"/>
        </w:rPr>
        <w:t xml:space="preserve">Lampiran B — Dokumen Terkait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Kode Dokumen</w:t>
            </w:r>
          </w:p>
        </w:tc>
        <w:tc>
          <w:tcPr>
            <w:tcW w:type="dxa" w:w="420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Judul</w:t>
            </w:r>
          </w:p>
        </w:tc>
        <w:tc>
          <w:tcPr>
            <w:tcW w:type="dxa" w:w="2960"/>
            <w:tcBorders>
              <w:top w:val="single" w:color="BDBDBD" w:sz="1"/>
              <w:left w:val="single" w:color="BDBDBD" w:sz="1"/>
              <w:bottom w:val="single" w:color="BDBDBD" w:sz="1"/>
              <w:right w:val="single" w:color="BDBDBD" w:sz="1"/>
            </w:tcBorders>
            <w:shd w:fill="0D2B1C" w:val="clear"/>
            <w:tcMar>
              <w:top w:type="dxa" w:w="100"/>
              <w:left w:type="dxa" w:w="150"/>
              <w:bottom w:type="dxa" w:w="100"/>
              <w:right w:type="dxa" w:w="120"/>
            </w:tcMar>
            <w:vAlign w:val="center"/>
          </w:tcPr>
          <w:p>
            <w:pPr>
              <w:spacing w:before="0" w:after="80"/>
              <w:jc w:val="left"/>
            </w:pPr>
            <w:r>
              <w:rPr>
                <w:rFonts w:ascii="Arial" w:cs="Arial" w:eastAsia="Arial" w:hAnsi="Arial"/>
                <w:b/>
                <w:bCs/>
                <w:i w:val="false"/>
                <w:iCs w:val="false"/>
                <w:color w:val="FFFFFF"/>
                <w:sz w:val="20"/>
                <w:szCs w:val="20"/>
              </w:rPr>
              <w:t xml:space="preserve">Keterangan</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ELI-POL-ITS-001</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Keamanan Informasi</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induk keamanan informasi ELI</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ELI-POL-ITS-003</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Release &amp; Change Management</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Kebijakan pengelolaan perubahan IT</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ELI-SOP-ITS-004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SOP Communication Plan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Prosedur pelaksanaan kebijakan ini</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ELI-FORM-ITS-001</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RFC</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Request for Change — komunikasi perubahan</w:t>
            </w:r>
          </w:p>
        </w:tc>
      </w:tr>
      <w:tr>
        <w:tc>
          <w:tcPr>
            <w:tcW w:type="dxa" w:w="2200"/>
            <w:tcBorders>
              <w:top w:val="single" w:color="BDBDBD" w:sz="1"/>
              <w:left w:val="single" w:color="BDBDBD" w:sz="1"/>
              <w:bottom w:val="single" w:color="BDBDBD" w:sz="1"/>
              <w:right w:val="single" w:color="BDBDBD" w:sz="1"/>
            </w:tcBorders>
            <w:shd w:fill="EBF7F0"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ELI-FORM-ITS-004</w:t>
            </w:r>
          </w:p>
        </w:tc>
        <w:tc>
          <w:tcPr>
            <w:tcW w:type="dxa" w:w="4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Teguran Pelanggaran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Penanganan pelanggaran komunikasi</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50"/>
              <w:bottom w:type="dxa" w:w="80"/>
              <w:right w:type="dxa" w:w="120"/>
            </w:tcMar>
            <w:vAlign w:val="center"/>
          </w:tcPr>
          <w:p>
            <w:pPr>
              <w:spacing w:before="0" w:after="80"/>
              <w:jc w:val="left"/>
            </w:pPr>
            <w:r>
              <w:rPr>
                <w:rFonts w:ascii="Arial" w:cs="Arial" w:eastAsia="Arial" w:hAnsi="Arial"/>
                <w:b/>
                <w:bCs/>
                <w:i w:val="false"/>
                <w:iCs w:val="false"/>
                <w:color w:val="1A1A1A"/>
                <w:sz w:val="20"/>
                <w:szCs w:val="20"/>
              </w:rPr>
              <w:t xml:space="preserve">ELI-FORM-ITS-006</w:t>
            </w:r>
          </w:p>
        </w:tc>
        <w:tc>
          <w:tcPr>
            <w:tcW w:type="dxa" w:w="420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Formulir PIR</w:t>
            </w:r>
          </w:p>
        </w:tc>
        <w:tc>
          <w:tcPr>
            <w:tcW w:type="dxa" w:w="2960"/>
            <w:tcBorders>
              <w:top w:val="single" w:color="BDBDBD" w:sz="1"/>
              <w:left w:val="single" w:color="BDBDBD" w:sz="1"/>
              <w:bottom w:val="single" w:color="BDBDBD" w:sz="1"/>
              <w:right w:val="single" w:color="BDBDBD" w:sz="1"/>
            </w:tcBorders>
            <w:shd w:fill="F0F0F0" w:val="clear"/>
            <w:tcMar>
              <w:top w:type="dxa" w:w="80"/>
              <w:left w:type="dxa" w:w="150"/>
              <w:bottom w:type="dxa" w:w="80"/>
              <w:right w:type="dxa" w:w="120"/>
            </w:tcMar>
            <w:vAlign w:val="center"/>
          </w:tcPr>
          <w:p>
            <w:pPr>
              <w:spacing w:before="0" w:after="80"/>
              <w:jc w:val="left"/>
            </w:pPr>
            <w:r>
              <w:rPr>
                <w:rFonts w:ascii="Arial" w:cs="Arial" w:eastAsia="Arial" w:hAnsi="Arial"/>
                <w:b w:val="false"/>
                <w:bCs w:val="false"/>
                <w:i w:val="false"/>
                <w:iCs w:val="false"/>
                <w:color w:val="1A1A1A"/>
                <w:sz w:val="20"/>
                <w:szCs w:val="20"/>
              </w:rPr>
              <w:t xml:space="preserve">Post Implementation Review — laporan pascaperubahan</w:t>
            </w:r>
          </w:p>
        </w:tc>
      </w:tr>
    </w:tbl>
    <w:p>
      <w:pPr>
        <w:spacing w:after="120"/>
      </w:pPr>
      <w:r>
        <w:t xml:space="preserve"/>
      </w:r>
    </w:p>
    <w:sectPr>
      <w:headerReference w:type="default" r:id="rId6"/>
      <w:footerReference w:type="default" r:id="rId7"/>
      <w:pgSz w:w="12240" w:h="15840" w:orient="portrait"/>
      <w:pgMar w:top="1080" w:right="90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7D" w:sz="6" w:space="1"/>
      </w:pBdr>
      <w:spacing w:before="80"/>
      <w:jc w:val="right"/>
    </w:pPr>
    <w:r>
      <w:rPr>
        <w:rFonts w:ascii="Arial" w:cs="Arial" w:eastAsia="Arial" w:hAnsi="Arial"/>
        <w:b w:val="false"/>
        <w:bCs w:val="false"/>
        <w:i w:val="false"/>
        <w:iCs w:val="false"/>
        <w:color w:val="555555"/>
        <w:sz w:val="16"/>
        <w:szCs w:val="16"/>
      </w:rPr>
      <w:t xml:space="preserve">PT Equity Life Indonesia  |  Halaman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555555"/>
        <w:sz w:val="16"/>
        <w:szCs w:val="16"/>
      </w:rPr>
      <w:t xml:space="preserve"> dari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4F" w:sz="6" w:space="1"/>
      </w:pBdr>
      <w:spacing w:after="80"/>
    </w:pPr>
    <w:r>
      <w:rPr>
        <w:rFonts w:ascii="Arial" w:cs="Arial" w:eastAsia="Arial" w:hAnsi="Arial"/>
        <w:b/>
        <w:bCs/>
        <w:i w:val="false"/>
        <w:iCs w:val="false"/>
        <w:color w:val="2D7A4F"/>
        <w:sz w:val="18"/>
        <w:szCs w:val="18"/>
      </w:rPr>
      <w:t xml:space="preserve">ELI-POL-ITS-004  |  Kebijakan Communication Plan — IT &amp; Keamanan Informasi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D35"/>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2D7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2026-03-10T21:32:24.857Z</dcterms:created>
  <dcterms:modified xsi:type="dcterms:W3CDTF">2026-03-10T21:32:24.857Z</dcterms:modified>
</cp:coreProperties>
</file>

<file path=docProps/custom.xml><?xml version="1.0" encoding="utf-8"?>
<Properties xmlns="http://schemas.openxmlformats.org/officeDocument/2006/custom-properties" xmlns:vt="http://schemas.openxmlformats.org/officeDocument/2006/docPropsVTypes"/>
</file>