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 w:before="1440"/>
        <w:jc w:val="center"/>
      </w:pPr>
      <w:r>
        <w:rPr>
          <w:b/>
          <w:bCs/>
          <w:sz w:val="32"/>
          <w:szCs w:val="32"/>
        </w:rPr>
        <w:t xml:space="preserve">PT EQUITY LIFE INDONESIA</w:t>
      </w:r>
    </w:p>
    <w:p>
      <w:pPr>
        <w:spacing w:after="240"/>
        <w:jc w:val="center"/>
      </w:pPr>
      <w:r>
        <w:rPr>
          <w:sz w:val="22"/>
          <w:szCs w:val="22"/>
        </w:rPr>
        <w:t xml:space="preserve">Perusahaan Asuransi Jiwa</w:t>
      </w:r>
    </w:p>
    <w:p>
      <w:pPr>
        <w:spacing w:after="1440"/>
        <w:jc w:val="center"/>
      </w:pPr>
      <w:r>
        <w:rPr>
          <w:sz w:val="22"/>
          <w:szCs w:val="22"/>
        </w:rPr>
        <w:t xml:space="preserve"/>
      </w:r>
    </w:p>
    <w:p>
      <w:pPr>
        <w:spacing w:after="240" w:before="1440"/>
        <w:jc w:val="center"/>
      </w:pPr>
      <w:r>
        <w:rPr>
          <w:b/>
          <w:bCs/>
          <w:sz w:val="28"/>
          <w:szCs w:val="28"/>
        </w:rPr>
        <w:t xml:space="preserve">STANDAR OPERASIONAL PROSEDUR</w:t>
      </w:r>
    </w:p>
    <w:p>
      <w:pPr>
        <w:spacing w:after="120"/>
        <w:jc w:val="center"/>
      </w:pPr>
      <w:r>
        <w:rPr>
          <w:sz w:val="24"/>
          <w:szCs w:val="24"/>
        </w:rPr>
        <w:t xml:space="preserve">(STANDARD OPERATING PROCEDURE - SOP)</w:t>
      </w:r>
    </w:p>
    <w:p>
      <w:pPr>
        <w:spacing w:after="1440"/>
        <w:jc w:val="center"/>
      </w:pPr>
      <w:r>
        <w:rPr>
          <w:b/>
          <w:bCs/>
          <w:color w:val="1F4E78"/>
          <w:sz w:val="26"/>
          <w:szCs w:val="26"/>
        </w:rPr>
        <w:t xml:space="preserve">KOMUNIKASI KEAMANAN INFORMASI</w:t>
      </w:r>
    </w:p>
    <w:p>
      <w:pPr>
        <w:spacing w:after="120" w:before="1440"/>
        <w:jc w:val="center"/>
      </w:pPr>
      <w:r>
        <w:rPr>
          <w:b/>
          <w:bCs/>
          <w:color w:val="1F4E78"/>
          <w:sz w:val="26"/>
          <w:szCs w:val="26"/>
        </w:rPr>
        <w:t xml:space="preserve">ISO 27001:2022</w:t>
      </w:r>
    </w:p>
    <w:p>
      <w:pPr>
        <w:spacing w:after="240"/>
        <w:jc w:val="center"/>
      </w:pPr>
      <w:r>
        <w:rPr>
          <w:sz w:val="22"/>
          <w:szCs w:val="22"/>
        </w:rPr>
        <w:t xml:space="preserve">Versi: 1.0</w:t>
      </w:r>
    </w:p>
    <w:p>
      <w:pPr>
        <w:spacing w:after="120"/>
        <w:jc w:val="center"/>
      </w:pPr>
      <w:r>
        <w:rPr>
          <w:sz w:val="22"/>
          <w:szCs w:val="22"/>
        </w:rPr>
        <w:t xml:space="preserve">Tanggal Efektif: 01 Januari 2024</w:t>
      </w:r>
    </w:p>
    <w:p>
      <w:pPr>
        <w:spacing w:after="240"/>
        <w:jc w:val="center"/>
      </w:pPr>
      <w:r>
        <w:rPr>
          <w:sz w:val="22"/>
          <w:szCs w:val="22"/>
        </w:rPr>
        <w:t xml:space="preserve">Status: Aktif</w:t>
      </w:r>
    </w:p>
    <w:p>
      <w:pPr>
        <w:spacing w:after="2880"/>
        <w:jc w:val="center"/>
      </w:pPr>
      <w:r>
        <w:rPr>
          <w:sz w:val="20"/>
          <w:szCs w:val="20"/>
        </w:rPr>
        <w:t xml:space="preserve">Kode Dokumen: SOP-KOM-ISO27001-001</w:t>
      </w:r>
    </w:p>
    <w:r>
      <w:br w:type="page"/>
    </w:r>
    <w:p>
      <w:pPr>
        <w:pStyle w:val="Heading1"/>
        <w:shd w:fill="1F4E78" w:val="clear"/>
      </w:pPr>
      <w:r>
        <w:rPr>
          <w:color w:val="FFFFFF"/>
        </w:rPr>
        <w:t xml:space="preserve">DAFTAR ISI</w:t>
      </w:r>
    </w:p>
    <w:p>
      <w:pPr>
        <w:spacing w:after="240"/>
      </w:pPr>
      <w:r>
        <w:t xml:space="preserve">1. Informasi Dokumen</w:t>
      </w:r>
    </w:p>
    <w:p>
      <w:pPr>
        <w:spacing w:after="240"/>
      </w:pPr>
      <w:r>
        <w:t xml:space="preserve">2. Tujuan dan Lingkup SOP</w:t>
      </w:r>
    </w:p>
    <w:p>
      <w:pPr>
        <w:spacing w:after="240"/>
      </w:pPr>
      <w:r>
        <w:t xml:space="preserve">3. Personil dan Tanggung Jawab</w:t>
      </w:r>
    </w:p>
    <w:p>
      <w:pPr>
        <w:spacing w:after="240"/>
      </w:pPr>
      <w:r>
        <w:t xml:space="preserve">4. SOP Komunikasi Keamanan Informasi Internal</w:t>
      </w:r>
    </w:p>
    <w:p>
      <w:pPr>
        <w:spacing w:after="240"/>
      </w:pPr>
      <w:r>
        <w:t xml:space="preserve">5. SOP Pelaporan Insiden Keamanan</w:t>
      </w:r>
    </w:p>
    <w:p>
      <w:pPr>
        <w:spacing w:after="240"/>
      </w:pPr>
      <w:r>
        <w:t xml:space="preserve">6. SOP Program Kesadaran Keamanan</w:t>
      </w:r>
    </w:p>
    <w:p>
      <w:pPr>
        <w:spacing w:after="240"/>
      </w:pPr>
      <w:r>
        <w:t xml:space="preserve">7. SOP Komunikasi Eksternal &amp; Regulasi</w:t>
      </w:r>
    </w:p>
    <w:p>
      <w:pPr>
        <w:spacing w:after="240"/>
      </w:pPr>
      <w:r>
        <w:t xml:space="preserve">8. SOP Pelatihan Keamanan Informasi</w:t>
      </w:r>
    </w:p>
    <w:p>
      <w:pPr>
        <w:spacing w:after="240"/>
      </w:pPr>
      <w:r>
        <w:t xml:space="preserve">9. Form dan Template</w:t>
      </w:r>
    </w:p>
    <w:p>
      <w:pPr>
        <w:spacing w:after="2880"/>
      </w:pPr>
      <w:r>
        <w:t xml:space="preserve">10. Lampiran dan Referensi</w:t>
      </w:r>
    </w:p>
    <w:r>
      <w:br w:type="page"/>
    </w:r>
    <w:p>
      <w:pPr>
        <w:pStyle w:val="Heading1"/>
        <w:shd w:fill="1F4E78" w:val="clear"/>
      </w:pPr>
      <w:r>
        <w:rPr>
          <w:color w:val="FFFFFF"/>
        </w:rPr>
        <w:t xml:space="preserve">1. INFORMASI DOKUMEN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Judul Dokumen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SOP Komunikasi Keamanan Informasi ISO 27001:2022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Kode Dokumen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SOP-KOM-ISO27001-001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Tanggal Efektif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01 Januari 2024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Pemilik Dokumen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Chief Information Security Officer (CISO)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Frekuensi Review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Setahun sekali atau sesuai kebutuhan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Aktif</w:t>
            </w:r>
          </w:p>
        </w:tc>
      </w:tr>
    </w:tbl>
    <w:p>
      <w:pPr>
        <w:spacing w:after="2880"/>
      </w:pPr>
      <w:r>
        <w:t xml:space="preserve"/>
      </w:r>
    </w:p>
    <w:r>
      <w:br w:type="page"/>
    </w:r>
    <w:p>
      <w:pPr>
        <w:pStyle w:val="Heading1"/>
        <w:shd w:fill="1F4E78" w:val="clear"/>
      </w:pPr>
      <w:r>
        <w:rPr>
          <w:color w:val="FFFFFF"/>
        </w:rPr>
        <w:t xml:space="preserve">2. TUJUAN DAN LINGKUP SOP</w:t>
      </w:r>
    </w:p>
    <w:p>
      <w:pPr>
        <w:pStyle w:val="Heading2"/>
        <w:shd w:fill="4472C4" w:val="clear"/>
        <w:spacing w:after="240"/>
      </w:pPr>
      <w:r>
        <w:rPr>
          <w:color w:val="FFFFFF"/>
        </w:rPr>
        <w:t xml:space="preserve">2.1 Tujuan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Mendefinisikan prosedur standar untuk komunikasi keamanan informasi di PT Equity Life Indonesia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Memastikan konsistensi dan efektivitas komunikasi keamanan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Memberikan panduan langkah demi langkah bagi semua personil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Memastikan kepatuhan terhadap ISO 27001:2022 dan regulasi yang berlaku</w:t>
      </w:r>
    </w:p>
    <w:p>
      <w:pPr>
        <w:pStyle w:val="Heading2"/>
        <w:shd w:fill="4472C4" w:val="clear"/>
        <w:spacing w:after="240"/>
      </w:pPr>
      <w:r>
        <w:rPr>
          <w:color w:val="FFFFFF"/>
        </w:rPr>
        <w:t xml:space="preserve">2.2 Lingkup SOP</w:t>
      </w:r>
    </w:p>
    <w:p>
      <w:pPr>
        <w:spacing w:after="240"/>
      </w:pPr>
      <w:r>
        <w:t xml:space="preserve">SOP ini berlaku untuk seluruh aktivitas komunikasi keamanan informasi, meliputi: komunikasi internal, pelaporan insiden, program kesadaran, komunikasi eksternal, dan pelatihan.</w:t>
      </w:r>
    </w:p>
    <w:p>
      <w:pPr>
        <w:spacing w:after="2880"/>
      </w:pPr>
      <w:r>
        <w:t xml:space="preserve"/>
      </w:r>
    </w:p>
    <w:r>
      <w:br w:type="page"/>
    </w:r>
    <w:p>
      <w:pPr>
        <w:pStyle w:val="Heading1"/>
        <w:shd w:fill="1F4E78" w:val="clear"/>
      </w:pPr>
      <w:r>
        <w:rPr>
          <w:color w:val="FFFFFF"/>
        </w:rPr>
        <w:t xml:space="preserve">3. PERSONIL DAN TANGGUNG JAWAB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Posisi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Tanggung Jawab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CISO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Mengarahkan dan mengawasi semua komunikasi keamanan informasi, menyetujui pelaporan eksternal, lead investigasi insiden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Kepala Tim Keamanan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Mengkoordinasikan pelaporan insiden, mengatur pelatihan keamanan, komunikasi dengan departemen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Tim Respons Insiden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Menerima laporan insiden, melakukan investigasi awal, dokumentasi, komunikasi dengan pihak terkait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Tim Training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Merencanakan dan melaksanakan program kesadaran dan pelatihan keamanan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Semua Karyawan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Melaporkan insiden keamanan dengan segera, mengikuti pelatihan, mematuhi kebijakan keamanan</w:t>
            </w:r>
          </w:p>
        </w:tc>
      </w:tr>
    </w:tbl>
    <w:p>
      <w:pPr>
        <w:spacing w:after="2880"/>
      </w:pPr>
      <w:r>
        <w:t xml:space="preserve"/>
      </w:r>
    </w:p>
    <w:r>
      <w:br w:type="page"/>
    </w:r>
    <w:p>
      <w:pPr>
        <w:pStyle w:val="Heading1"/>
        <w:shd w:fill="1F4E78" w:val="clear"/>
      </w:pPr>
      <w:r>
        <w:rPr>
          <w:color w:val="FFFFFF"/>
        </w:rPr>
        <w:t xml:space="preserve">4. SOP KOMUNIKASI KEAMANAN INFORMASI INTERNAL</w:t>
      </w:r>
    </w:p>
    <w:p>
      <w:pPr>
        <w:pStyle w:val="Heading2"/>
        <w:shd w:fill="4472C4" w:val="clear"/>
        <w:spacing w:after="240"/>
      </w:pPr>
      <w:r>
        <w:rPr>
          <w:color w:val="FFFFFF"/>
        </w:rPr>
        <w:t xml:space="preserve">4.1 Pengumuman Kebijakan dan Update Keamanan</w:t>
      </w:r>
    </w:p>
    <w:p>
      <w:pPr>
        <w:pStyle w:val="Heading3"/>
        <w:spacing w:after="120"/>
      </w:pPr>
      <w:r>
        <w:rPr>
          <w:b/>
          <w:bCs/>
        </w:rPr>
        <w:t xml:space="preserve">Prosedur: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CISO atau Kepala Tim Keamanan menyusun draf pengumuman/update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Review konten untuk akurasi dan kejelasan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Approval dari CISO atau Kepala Keamanan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Distribusi melalui saluran yang tepat (email, intranet, meeting)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Dokumentasi pengiriman dan konfirmasi penerimaan</w:t>
      </w:r>
    </w:p>
    <w:p>
      <w:pPr>
        <w:pStyle w:val="Heading3"/>
        <w:spacing w:after="120"/>
      </w:pPr>
      <w:r>
        <w:rPr>
          <w:b/>
          <w:bCs/>
        </w:rPr>
        <w:t xml:space="preserve">Frekuensi:</w:t>
      </w:r>
    </w:p>
    <w:p>
      <w:pPr>
        <w:spacing w:after="240"/>
      </w:pPr>
      <w:r>
        <w:t xml:space="preserve">Bulanan (pengumuman), atau segera jika ada update urgent</w:t>
      </w:r>
    </w:p>
    <w:p>
      <w:pPr>
        <w:pStyle w:val="Heading2"/>
        <w:shd w:fill="4472C4" w:val="clear"/>
        <w:spacing w:after="240"/>
      </w:pPr>
      <w:r>
        <w:rPr>
          <w:color w:val="FFFFFF"/>
        </w:rPr>
        <w:t xml:space="preserve">4.2 Komunikasi dengan Tim IT</w:t>
      </w:r>
    </w:p>
    <w:p>
      <w:pPr>
        <w:pStyle w:val="Heading3"/>
        <w:spacing w:after="120"/>
      </w:pPr>
      <w:r>
        <w:rPr>
          <w:b/>
          <w:bCs/>
        </w:rPr>
        <w:t xml:space="preserve">Prosedur: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Tim Keamanan mengirim technical alert atau advisory kepada Tim IT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Tim IT mengkonfirmasi penerimaan dalam 1 jam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Tim IT melakukan tindakan mitigasi sesuai tingkat urgensi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Laporan hasil tindakan dikirimkan kembali ke Tim Keamanan</w:t>
      </w:r>
    </w:p>
    <w:p>
      <w:pPr>
        <w:pStyle w:val="Heading3"/>
        <w:spacing w:after="120"/>
      </w:pPr>
      <w:r>
        <w:rPr>
          <w:b/>
          <w:bCs/>
        </w:rPr>
        <w:t xml:space="preserve">Saluran Komunikasi:</w:t>
      </w:r>
    </w:p>
    <w:p>
      <w:pPr>
        <w:spacing w:after="240"/>
      </w:pPr>
      <w:r>
        <w:t xml:space="preserve">Email formal, telepon untuk urgent, meeting koordinasi mingguan</w:t>
      </w:r>
    </w:p>
    <w:p>
      <w:pPr>
        <w:spacing w:after="2880"/>
      </w:pPr>
      <w:r>
        <w:t xml:space="preserve"/>
      </w:r>
    </w:p>
    <w:r>
      <w:br w:type="page"/>
    </w:r>
    <w:p>
      <w:pPr>
        <w:pStyle w:val="Heading1"/>
        <w:shd w:fill="1F4E78" w:val="clear"/>
      </w:pPr>
      <w:r>
        <w:rPr>
          <w:color w:val="FFFFFF"/>
        </w:rPr>
        <w:t xml:space="preserve">5. SOP PELAPORAN INSIDEN KEAMANAN</w:t>
      </w:r>
    </w:p>
    <w:p>
      <w:pPr>
        <w:pStyle w:val="Heading2"/>
        <w:shd w:fill="4472C4" w:val="clear"/>
        <w:spacing w:after="240"/>
      </w:pPr>
      <w:r>
        <w:rPr>
          <w:color w:val="FFFFFF"/>
        </w:rPr>
        <w:t xml:space="preserve">5.1 Penerimaan Laporan Insiden</w:t>
      </w:r>
    </w:p>
    <w:p>
      <w:pPr>
        <w:pStyle w:val="Heading3"/>
        <w:spacing w:after="120"/>
      </w:pPr>
      <w:r>
        <w:rPr>
          <w:b/>
          <w:bCs/>
        </w:rPr>
        <w:t xml:space="preserve">Prosedur: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Pelapor melaporkan insiden melalui salah satu saluran yang tersedia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Tim Respons Insiden menerima dan mencatat detail laporan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Memberikan nomor referensi insiden kepada pelapor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Mengirimkan konfirmasi penerimaan dalam 15 menit</w:t>
      </w:r>
    </w:p>
    <w:p>
      <w:pPr>
        <w:pStyle w:val="Heading3"/>
        <w:spacing w:after="120"/>
      </w:pPr>
      <w:r>
        <w:rPr>
          <w:b/>
          <w:bCs/>
        </w:rPr>
        <w:t xml:space="preserve">Template Laporan:</w:t>
      </w:r>
    </w:p>
    <w:p>
      <w:pPr>
        <w:spacing w:after="240"/>
      </w:pPr>
      <w:r>
        <w:t xml:space="preserve">- Nama dan kontak pelapor
- Deskripsi insiden
- Waktu insiden terjadi
- Sistem/data yang terkena
- Tindakan emergency yang sudah dilakukan</w:t>
      </w:r>
    </w:p>
    <w:p>
      <w:pPr>
        <w:pStyle w:val="Heading2"/>
        <w:shd w:fill="4472C4" w:val="clear"/>
        <w:spacing w:after="240"/>
      </w:pPr>
      <w:r>
        <w:rPr>
          <w:color w:val="FFFFFF"/>
        </w:rPr>
        <w:t xml:space="preserve">5.2 Eskalasi Berdasarkan Tingkat Keparahan</w:t>
      </w:r>
    </w:p>
    <w:p>
      <w:pPr>
        <w:pStyle w:val="Heading3"/>
        <w:spacing w:after="120"/>
      </w:pPr>
      <w:r>
        <w:rPr>
          <w:b/>
          <w:bCs/>
        </w:rPr>
        <w:t xml:space="preserve">Tingkat KRITIS (Respons 30 menit):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Aktivasi Incident Response Team (IRT) seketika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Notifikasi ke CISO dalam 5 menit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Konferensi telepon emergency dengan manajemen senior</w:t>
      </w:r>
    </w:p>
    <w:p>
      <w:pPr>
        <w:pStyle w:val="Heading3"/>
        <w:spacing w:after="120"/>
      </w:pPr>
      <w:r>
        <w:rPr>
          <w:b/>
          <w:bCs/>
        </w:rPr>
        <w:t xml:space="preserve">Tingkat TINGGI (Respons 2 jam):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Notifikasi ke CISO dan Kepala Keamanan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Mobilisasi tim investigasi</w:t>
      </w:r>
    </w:p>
    <w:p>
      <w:pPr>
        <w:pStyle w:val="Heading3"/>
        <w:spacing w:after="120"/>
      </w:pPr>
      <w:r>
        <w:rPr>
          <w:b/>
          <w:bCs/>
        </w:rPr>
        <w:t xml:space="preserve">Tingkat SEDANG (Respons 4 jam):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Notifikasi ke Kepala Tim Keamanan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Investigasi dimulai pada hari kerja</w:t>
      </w:r>
    </w:p>
    <w:p>
      <w:pPr>
        <w:pStyle w:val="Heading3"/>
        <w:spacing w:after="120"/>
      </w:pPr>
      <w:r>
        <w:rPr>
          <w:b/>
          <w:bCs/>
        </w:rPr>
        <w:t xml:space="preserve">Tingkat RENDAH (Respons 8 jam):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Pencatatan dan follow up dalam satu minggu kerja</w:t>
      </w:r>
    </w:p>
    <w:p>
      <w:pPr>
        <w:pStyle w:val="Heading2"/>
        <w:shd w:fill="4472C4" w:val="clear"/>
        <w:spacing w:after="240"/>
      </w:pPr>
      <w:r>
        <w:rPr>
          <w:color w:val="FFFFFF"/>
        </w:rPr>
        <w:t xml:space="preserve">5.3 Investigasi dan Dokumentasi</w:t>
      </w:r>
    </w:p>
    <w:p>
      <w:pPr>
        <w:pStyle w:val="Heading3"/>
        <w:spacing w:after="120"/>
      </w:pPr>
      <w:r>
        <w:rPr>
          <w:b/>
          <w:bCs/>
        </w:rPr>
        <w:t xml:space="preserve">Prosedur: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Mengumpulkan evidence dan melakukan analisis root cause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Menentukan jenis insiden dan dampak yang terjadi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Mendokumentasikan findings dalam Incident Report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Menyerahkan laporan akhir ke CISO untuk persetujuan</w:t>
      </w:r>
    </w:p>
    <w:p>
      <w:pPr>
        <w:pStyle w:val="Heading2"/>
        <w:shd w:fill="4472C4" w:val="clear"/>
        <w:spacing w:after="240"/>
      </w:pPr>
      <w:r>
        <w:rPr>
          <w:color w:val="FFFFFF"/>
        </w:rPr>
        <w:t xml:space="preserve">5.4 Pelaporan ke Pihak Eksternal</w:t>
      </w:r>
    </w:p>
    <w:p>
      <w:pPr>
        <w:pStyle w:val="Heading3"/>
        <w:spacing w:after="120"/>
      </w:pPr>
      <w:r>
        <w:rPr>
          <w:b/>
          <w:bCs/>
        </w:rPr>
        <w:t xml:space="preserve">Kriteria Pelaporan:</w:t>
      </w:r>
    </w:p>
    <w:p>
      <w:pPr>
        <w:spacing w:after="120"/>
      </w:pPr>
      <w:r>
        <w:t xml:space="preserve">Laporan ke OJK jika: Insiden berdampak pada keamanan sistem/data pelanggan, terdapat pembocoran data pribadi</w:t>
      </w:r>
    </w:p>
    <w:p>
      <w:pPr>
        <w:spacing w:after="120"/>
      </w:pPr>
      <w:r>
        <w:t xml:space="preserve">Laporan ke BSSN jika: Aktivitas cyber attack, insiden yang melibatkan infrastruktur kritis</w:t>
      </w:r>
    </w:p>
    <w:p>
      <w:pPr>
        <w:spacing w:after="240"/>
      </w:pPr>
      <w:r>
        <w:t xml:space="preserve">Laporan ke pelanggan jika: Data pribadi mereka terkena kompromi</w:t>
      </w:r>
    </w:p>
    <w:p>
      <w:pPr>
        <w:pStyle w:val="Heading3"/>
        <w:spacing w:after="120"/>
      </w:pPr>
      <w:r>
        <w:rPr>
          <w:b/>
          <w:bCs/>
        </w:rPr>
        <w:t xml:space="preserve">Prosedur: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CISO menyetujui konten laporan eksternal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Hukum/PR melakukan review untuk compliance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Pengiriman laporan sesuai timeframe regulasi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Dokumentasi pengiriman dan acknowledgment</w:t>
      </w:r>
    </w:p>
    <w:p>
      <w:pPr>
        <w:spacing w:after="2880"/>
      </w:pPr>
      <w:r>
        <w:t xml:space="preserve"/>
      </w:r>
    </w:p>
    <w:r>
      <w:br w:type="page"/>
    </w:r>
    <w:p>
      <w:pPr>
        <w:pStyle w:val="Heading1"/>
        <w:shd w:fill="1F4E78" w:val="clear"/>
      </w:pPr>
      <w:r>
        <w:rPr>
          <w:color w:val="FFFFFF"/>
        </w:rPr>
        <w:t xml:space="preserve">6. SOP PROGRAM KESADARAN KEAMANAN</w:t>
      </w:r>
    </w:p>
    <w:p>
      <w:pPr>
        <w:pStyle w:val="Heading2"/>
        <w:shd w:fill="4472C4" w:val="clear"/>
        <w:spacing w:after="240"/>
      </w:pPr>
      <w:r>
        <w:rPr>
          <w:color w:val="FFFFFF"/>
        </w:rPr>
        <w:t xml:space="preserve">6.1 Perencanaan Program Tahunan</w:t>
      </w:r>
    </w:p>
    <w:p>
      <w:pPr>
        <w:pStyle w:val="Heading3"/>
        <w:spacing w:after="120"/>
      </w:pPr>
      <w:r>
        <w:rPr>
          <w:b/>
          <w:bCs/>
        </w:rPr>
        <w:t xml:space="preserve">Prosedur: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Tim Training membuat rencana program kesadaran tahunan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Menentukan topik, target audiens, dan metode penyampaian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Approval dari CISO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Komunikasikan jadwal ke semua departemen</w:t>
      </w:r>
    </w:p>
    <w:p>
      <w:pPr>
        <w:pStyle w:val="Heading2"/>
        <w:shd w:fill="4472C4" w:val="clear"/>
        <w:spacing w:after="240"/>
      </w:pPr>
      <w:r>
        <w:rPr>
          <w:color w:val="FFFFFF"/>
        </w:rPr>
        <w:t xml:space="preserve">6.2 Pelaksanaan Pelatihan</w:t>
      </w:r>
    </w:p>
    <w:p>
      <w:pPr>
        <w:pStyle w:val="Heading3"/>
        <w:spacing w:after="120"/>
      </w:pPr>
      <w:r>
        <w:rPr>
          <w:b/>
          <w:bCs/>
        </w:rPr>
        <w:t xml:space="preserve">Email Campaign (Bulanan):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Menyusun konten email tentang topik keamanan spesifik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Mengirim ke semua karyawan pada tanggal yang konsisten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Tracking pembukaan email dan klik link</w:t>
      </w:r>
    </w:p>
    <w:p>
      <w:pPr>
        <w:pStyle w:val="Heading3"/>
        <w:spacing w:after="120"/>
      </w:pPr>
      <w:r>
        <w:rPr>
          <w:b/>
          <w:bCs/>
        </w:rPr>
        <w:t xml:space="preserve">Pelatihan Formal (Tahunan):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Jadwalkan sesi pelatihan untuk semua karyawan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Presentasi oleh tim keamanan atau external trainer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Dokumentasi kehadiran dan penilaian pemahaman</w:t>
      </w:r>
    </w:p>
    <w:p>
      <w:pPr>
        <w:pStyle w:val="Heading3"/>
        <w:spacing w:after="120"/>
      </w:pPr>
      <w:r>
        <w:rPr>
          <w:b/>
          <w:bCs/>
        </w:rPr>
        <w:t xml:space="preserve">Simulasi Phishing (Kuartalan):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Merancang email phishing simulasi yang realistis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Mengirim ke sample karyawan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Analisis hasil dan follow-up training untuk yang tertipu</w:t>
      </w:r>
    </w:p>
    <w:p>
      <w:pPr>
        <w:pStyle w:val="Heading2"/>
        <w:shd w:fill="4472C4" w:val="clear"/>
        <w:spacing w:after="240"/>
      </w:pPr>
      <w:r>
        <w:rPr>
          <w:color w:val="FFFFFF"/>
        </w:rPr>
        <w:t xml:space="preserve">6.3 Dokumentasi dan Tracking</w:t>
      </w:r>
    </w:p>
    <w:p>
      <w:pPr>
        <w:spacing w:after="120"/>
      </w:pPr>
      <w:r>
        <w:t xml:space="preserve">Semua aktivitas pelatihan harus didokumentasikan dalam database training dengan mencatat: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Nama peserta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Tanggal dan topik pelatihan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Status kehadiran dan skor assessment</w:t>
      </w:r>
    </w:p>
    <w:p>
      <w:pPr>
        <w:spacing w:after="2880"/>
      </w:pPr>
      <w:r>
        <w:t xml:space="preserve"/>
      </w:r>
    </w:p>
    <w:r>
      <w:br w:type="page"/>
    </w:r>
    <w:p>
      <w:pPr>
        <w:pStyle w:val="Heading1"/>
        <w:shd w:fill="1F4E78" w:val="clear"/>
      </w:pPr>
      <w:r>
        <w:rPr>
          <w:color w:val="FFFFFF"/>
        </w:rPr>
        <w:t xml:space="preserve">7. SOP KOMUNIKASI EKSTERNAL &amp; REGULASI</w:t>
      </w:r>
    </w:p>
    <w:p>
      <w:pPr>
        <w:pStyle w:val="Heading2"/>
        <w:shd w:fill="4472C4" w:val="clear"/>
        <w:spacing w:after="240"/>
      </w:pPr>
      <w:r>
        <w:rPr>
          <w:color w:val="FFFFFF"/>
        </w:rPr>
        <w:t xml:space="preserve">7.1 Pelaporan ke Otoritas Regulasi (OJK, BSSN)</w:t>
      </w:r>
    </w:p>
    <w:p>
      <w:pPr>
        <w:pStyle w:val="Heading3"/>
        <w:spacing w:after="120"/>
      </w:pPr>
      <w:r>
        <w:rPr>
          <w:b/>
          <w:bCs/>
        </w:rPr>
        <w:t xml:space="preserve">Prosedur Pelaporan ke OJK: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CISO menginformasikan Dewan Direksi tentang insiden yang memenuhi kriteria pelaporan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Dewan Direksi membuat keputusan untuk melaporkan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CISO dan Divisi Legal menyusun laporan formal sesuai format OJK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Pengiriman melalui portal OJK dengan surat pengantar resmi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Dokumentasi bukti pengiriman dan follow up sesuai kebutuhan</w:t>
      </w:r>
    </w:p>
    <w:p>
      <w:pPr>
        <w:pStyle w:val="Heading3"/>
        <w:spacing w:after="120"/>
      </w:pPr>
      <w:r>
        <w:rPr>
          <w:b/>
          <w:bCs/>
        </w:rPr>
        <w:t xml:space="preserve">Waktu Pelaporan:</w:t>
      </w:r>
    </w:p>
    <w:p>
      <w:pPr>
        <w:spacing w:after="240"/>
      </w:pPr>
      <w:r>
        <w:t xml:space="preserve">Maksimal 24 jam untuk insiden kritis, atau sesuai timeframe regulasi</w:t>
      </w:r>
    </w:p>
    <w:p>
      <w:pPr>
        <w:pStyle w:val="Heading2"/>
        <w:shd w:fill="4472C4" w:val="clear"/>
        <w:spacing w:after="240"/>
      </w:pPr>
      <w:r>
        <w:rPr>
          <w:color w:val="FFFFFF"/>
        </w:rPr>
        <w:t xml:space="preserve">7.2 Komunikasi dengan Media</w:t>
      </w:r>
    </w:p>
    <w:p>
      <w:pPr>
        <w:pStyle w:val="Heading3"/>
        <w:spacing w:after="120"/>
      </w:pPr>
      <w:r>
        <w:rPr>
          <w:b/>
          <w:bCs/>
        </w:rPr>
        <w:t xml:space="preserve">Prosedur: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Hanya CISO dan PR Manager yang berwenang memberikan statement ke media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Siapkan press release dengan approval Direksi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Komunikasikan pesan yang konsisten dan terukur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Monitor dan dokumentasikan coverage media</w:t>
      </w:r>
    </w:p>
    <w:p>
      <w:pPr>
        <w:pStyle w:val="Heading2"/>
        <w:shd w:fill="4472C4" w:val="clear"/>
        <w:spacing w:after="240"/>
      </w:pPr>
      <w:r>
        <w:rPr>
          <w:color w:val="FFFFFF"/>
        </w:rPr>
        <w:t xml:space="preserve">7.3 Notifikasi Pelanggan Terdampak</w:t>
      </w:r>
    </w:p>
    <w:p>
      <w:pPr>
        <w:pStyle w:val="Heading3"/>
        <w:spacing w:after="120"/>
      </w:pPr>
      <w:r>
        <w:rPr>
          <w:b/>
          <w:bCs/>
        </w:rPr>
        <w:t xml:space="preserve">Prosedur: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Identifikasi pelanggan yang terdampak insiden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Siapkan template surat notifikasi yang jelas dan empati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Approval dari CISO dan CEO sebelum pengiriman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Pengiriman via email resmi, surat, atau SMS sesuai data yang tersedia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Siapkan call center untuk menjawab pertanyaan pelanggan</w:t>
      </w:r>
    </w:p>
    <w:p>
      <w:pPr>
        <w:spacing w:after="2880"/>
      </w:pPr>
      <w:r>
        <w:t xml:space="preserve"/>
      </w:r>
    </w:p>
    <w:r>
      <w:br w:type="page"/>
    </w:r>
    <w:p>
      <w:pPr>
        <w:pStyle w:val="Heading1"/>
        <w:shd w:fill="1F4E78" w:val="clear"/>
      </w:pPr>
      <w:r>
        <w:rPr>
          <w:color w:val="FFFFFF"/>
        </w:rPr>
        <w:t xml:space="preserve">8. SOP PELATIHAN KEAMANAN INFORMASI</w:t>
      </w:r>
    </w:p>
    <w:p>
      <w:pPr>
        <w:pStyle w:val="Heading2"/>
        <w:shd w:fill="4472C4" w:val="clear"/>
        <w:spacing w:after="240"/>
      </w:pPr>
      <w:r>
        <w:rPr>
          <w:color w:val="FFFFFF"/>
        </w:rPr>
        <w:t xml:space="preserve">8.1 Pelatihan Karyawan Baru</w:t>
      </w:r>
    </w:p>
    <w:p>
      <w:pPr>
        <w:pStyle w:val="Heading3"/>
        <w:spacing w:after="120"/>
      </w:pPr>
      <w:r>
        <w:rPr>
          <w:b/>
          <w:bCs/>
        </w:rPr>
        <w:t xml:space="preserve">Prosedur: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Koordinasi dengan HR untuk jadwal orientasi karyawan baru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Menyediakan modul pelatihan keamanan informasi online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Karyawan baru harus menyelesaikan training sebelum mendapat akses sistem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Penandatanganan Acknowledgment dan Code of Conduct</w:t>
      </w:r>
    </w:p>
    <w:p>
      <w:pPr>
        <w:pStyle w:val="Heading2"/>
        <w:shd w:fill="4472C4" w:val="clear"/>
        <w:spacing w:after="240"/>
      </w:pPr>
      <w:r>
        <w:rPr>
          <w:color w:val="FFFFFF"/>
        </w:rPr>
        <w:t xml:space="preserve">8.2 Pelatihan Lanjutan Teknis</w:t>
      </w:r>
    </w:p>
    <w:p>
      <w:pPr>
        <w:pStyle w:val="Heading3"/>
        <w:spacing w:after="120"/>
      </w:pPr>
      <w:r>
        <w:rPr>
          <w:b/>
          <w:bCs/>
        </w:rPr>
        <w:t xml:space="preserve">Target Peserta: Tim IT dan Security</w:t>
      </w:r>
    </w:p>
    <w:p>
      <w:pPr>
        <w:pStyle w:val="Heading3"/>
        <w:spacing w:after="120"/>
      </w:pPr>
      <w:r>
        <w:rPr>
          <w:b/>
          <w:bCs/>
        </w:rPr>
        <w:t xml:space="preserve">Topik: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Security Architecture &amp; Design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Incident Response &amp; Forensics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Vulnerability Assessment &amp; Penetration Testing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Compliance &amp; Audit</w:t>
      </w:r>
    </w:p>
    <w:p>
      <w:pPr>
        <w:pStyle w:val="Heading3"/>
        <w:spacing w:after="120"/>
      </w:pPr>
      <w:r>
        <w:rPr>
          <w:b/>
          <w:bCs/>
        </w:rPr>
        <w:t xml:space="preserve">Delivery Method:</w:t>
      </w:r>
    </w:p>
    <w:p>
      <w:pPr>
        <w:spacing w:after="240"/>
      </w:pPr>
      <w:r>
        <w:t xml:space="preserve">Workshop internal, webinar eksternal, atau sertifikasi profesional</w:t>
      </w:r>
    </w:p>
    <w:p>
      <w:pPr>
        <w:spacing w:after="2880"/>
      </w:pPr>
      <w:r>
        <w:t xml:space="preserve"/>
      </w:r>
    </w:p>
    <w:r>
      <w:br w:type="page"/>
    </w:r>
    <w:p>
      <w:pPr>
        <w:pStyle w:val="Heading1"/>
        <w:shd w:fill="1F4E78" w:val="clear"/>
      </w:pPr>
      <w:r>
        <w:rPr>
          <w:color w:val="FFFFFF"/>
        </w:rPr>
        <w:t xml:space="preserve">9. FORM DAN TEMPLATE</w:t>
      </w:r>
    </w:p>
    <w:p>
      <w:pPr>
        <w:pStyle w:val="Heading2"/>
        <w:shd w:fill="4472C4" w:val="clear"/>
        <w:spacing w:after="240"/>
      </w:pPr>
      <w:r>
        <w:rPr>
          <w:color w:val="FFFFFF"/>
        </w:rPr>
        <w:t xml:space="preserve">9.1 Form Pelaporan Insiden Keamanan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677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Deskripsi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Nomor Referensi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Auto-generate oleh sistem (INC-YYYY-XXXX)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Informasi Pelapor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Nama, departemen, kontak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Deskripsi Insiden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Detail kronologis kejadian insiden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Waktu Insiden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Tanggal dan jam insiden terdeteksi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Sistem/Data Terdampak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Identifikasi sistem/data apa yang terpengaruh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Tingkat Keparahan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Kritis / Tinggi / Sedang / Rendah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Tindakan Emergency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Apa yang sudah dilakukan untuk mitigasi</w:t>
            </w:r>
          </w:p>
        </w:tc>
      </w:tr>
    </w:tbl>
    <w:p>
      <w:pPr>
        <w:spacing w:after="2880"/>
      </w:pPr>
      <w:r>
        <w:t xml:space="preserve"/>
      </w:r>
    </w:p>
    <w:r>
      <w:br w:type="page"/>
    </w:r>
    <w:p>
      <w:pPr>
        <w:pStyle w:val="Heading1"/>
        <w:shd w:fill="1F4E78" w:val="clear"/>
      </w:pPr>
      <w:r>
        <w:rPr>
          <w:color w:val="FFFFFF"/>
        </w:rPr>
        <w:t xml:space="preserve">10. LAMPIRAN DAN REFERENSI</w:t>
      </w:r>
    </w:p>
    <w:p>
      <w:pPr>
        <w:pStyle w:val="Heading2"/>
        <w:shd w:fill="4472C4" w:val="clear"/>
        <w:spacing w:after="240"/>
      </w:pPr>
      <w:r>
        <w:rPr>
          <w:color w:val="FFFFFF"/>
        </w:rPr>
        <w:t xml:space="preserve">10.1 Referensi Regulasi dan Standar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ISO/IEC 27001:2022 - Information Security Management System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ISO/IEC 27002:2022 - Code of practice for information security controls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POJK Nomor 6/POJK.03/2021 - Penerapan Program Anti Pencucian Uang &amp; Pencegahan Pendanaan Terorisme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POJK Nomor 13/POJK.03/2021 - Perlindungan Data Pribadi Bagi Pengguna Jasa Keuangan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SE OJK Nomor 30/SEOJK.03/2021 - Penyelenggaraan Teknologi Informasi oleh Penyelenggara Jasa Keuangan</w:t>
      </w:r>
    </w:p>
    <w:p>
      <w:pPr>
        <w:pStyle w:val="Heading2"/>
        <w:shd w:fill="4472C4" w:val="clear"/>
        <w:spacing w:after="240"/>
      </w:pPr>
      <w:r>
        <w:rPr>
          <w:color w:val="FFFFFF"/>
        </w:rPr>
        <w:t xml:space="preserve">10.2 Kontak Penting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Posisi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Email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Telepon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CISO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ciso@equitylifeid.com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+62-21-XXXX-XXXX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Hotline Keamanan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security@equitylifeid.com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+62-21-XXXX-XXXX (24/7)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 Support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itsupport@equitylifeid.com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ext. 5555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top w:val="single" w:color="1F4E78" w:sz="6"/>
        </w:pBdr>
        <w:spacing w:after="120" w:before="240"/>
      </w:pPr>
      <w:r>
        <w:t xml:space="preserve">PT EQUITY LIFE INDONESIA - STANDAR OPERASIONAL PROSEDUR</w:t>
      </w:r>
    </w:p>
    <w:p>
      <w:pPr>
        <w:spacing w:after="120"/>
      </w:pPr>
      <w:r>
        <w:t xml:space="preserve">Dokumen ini adalah properti rahasia PT Equity Life Indonesia</w:t>
      </w:r>
    </w:p>
    <w:p>
      <w:pPr>
        <w:spacing w:after="120"/>
      </w:pPr>
      <w:r>
        <w:t xml:space="preserve">Versi: 1.0 | Tanggal Efektif: 01 Januari 2024</w:t>
      </w:r>
    </w:p>
    <w:p>
      <w:pPr>
        <w:spacing w:after="120"/>
      </w:pPr>
      <w:r>
        <w:t xml:space="preserve">Disetujui oleh: CISO dan Dewan Direksi | Tanggal Persetujuan: 01 Januari 2024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200"/>
      <w:outlineLvl w:val="1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3">
    <w:name w:val="Heading 3"/>
    <w:basedOn w:val="Normal"/>
    <w:next w:val="Normal"/>
    <w:pPr>
      <w:spacing w:after="80" w:before="16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2026-03-14T13:22:02.193Z</dcterms:created>
  <dcterms:modified xsi:type="dcterms:W3CDTF">2026-03-14T13:22:02.194Z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