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B4D35" w:val="clear"/>
            <w:tcMar>
              <w:top w:type="dxa" w:w="180"/>
              <w:left w:type="dxa" w:w="300"/>
              <w:bottom w:type="dxa" w:w="80"/>
              <w:right w:type="dxa" w:w="300"/>
            </w:tcMar>
          </w:tcPr>
          <w:p>
            <w:pPr>
              <w:spacing w:before="0" w:after="40"/>
              <w:jc w:val="center"/>
            </w:pPr>
            <w:r>
              <w:rPr>
                <w:rFonts w:ascii="Arial" w:cs="Arial" w:eastAsia="Arial" w:hAnsi="Arial"/>
                <w:b/>
                <w:bCs/>
                <w:i w:val="false"/>
                <w:iCs w:val="false"/>
                <w:color w:val="FFFFFF"/>
                <w:sz w:val="22"/>
                <w:szCs w:val="22"/>
              </w:rPr>
              <w:t xml:space="preserve">PT EQUITY LIFE INDONESIA</w:t>
            </w:r>
          </w:p>
          <w:p>
            <w:pPr>
              <w:spacing w:before="0" w:after="80"/>
              <w:jc w:val="center"/>
            </w:pPr>
            <w:r>
              <w:rPr>
                <w:rFonts w:ascii="Arial" w:cs="Arial" w:eastAsia="Arial" w:hAnsi="Arial"/>
                <w:b w:val="false"/>
                <w:bCs w:val="false"/>
                <w:i w:val="false"/>
                <w:iCs w:val="false"/>
                <w:color w:val="B8D4C6"/>
                <w:sz w:val="18"/>
                <w:szCs w:val="18"/>
              </w:rPr>
              <w:t xml:space="preserve">Divisi Teknologi Informasi &amp; Keamanan Informasi</w:t>
            </w:r>
          </w:p>
        </w:tc>
      </w:tr>
      <w:tr>
        <w:tc>
          <w:tcPr>
            <w:tcW w:type="dxa" w:w="9360"/>
            <w:tcBorders>
              <w:top w:val="single" w:color="BDBDBD" w:sz="1"/>
              <w:left w:val="single" w:color="BDBDBD" w:sz="1"/>
              <w:bottom w:val="single" w:color="BDBDBD" w:sz="1"/>
              <w:right w:val="single" w:color="BDBDBD" w:sz="1"/>
            </w:tcBorders>
            <w:shd w:fill="2D7A4F" w:val="clear"/>
            <w:tcMar>
              <w:top w:type="dxa" w:w="60"/>
              <w:left w:type="dxa" w:w="300"/>
              <w:bottom w:type="dxa" w:w="60"/>
              <w:right w:type="dxa" w:w="300"/>
            </w:tcMar>
          </w:tcPr>
          <w:p>
            <w:pPr>
              <w:spacing w:before="0" w:after="80"/>
              <w:jc w:val="center"/>
            </w:pPr>
            <w:r>
              <w:rPr>
                <w:rFonts w:ascii="Arial" w:cs="Arial" w:eastAsia="Arial" w:hAnsi="Arial"/>
                <w:b w:val="false"/>
                <w:bCs w:val="false"/>
                <w:i w:val="false"/>
                <w:iCs w:val="false"/>
                <w:color w:val="D6EDE0"/>
                <w:sz w:val="18"/>
                <w:szCs w:val="18"/>
              </w:rPr>
              <w:t xml:space="preserve">ELI-POL-ITS-006</w:t>
            </w:r>
          </w:p>
        </w:tc>
      </w:tr>
      <w:tr>
        <w:tc>
          <w:tcPr>
            <w:tcW w:type="dxa" w:w="9360"/>
            <w:tcBorders>
              <w:top w:val="single" w:color="BDBDBD" w:sz="1"/>
              <w:left w:val="single" w:color="BDBDBD" w:sz="1"/>
              <w:bottom w:val="single" w:color="BDBDBD" w:sz="1"/>
              <w:right w:val="single" w:color="BDBDBD" w:sz="1"/>
            </w:tcBorders>
            <w:shd w:fill="D6EDE0" w:val="clear"/>
            <w:tcMar>
              <w:top w:type="dxa" w:w="160"/>
              <w:left w:type="dxa" w:w="300"/>
              <w:bottom w:type="dxa" w:w="160"/>
              <w:right w:type="dxa" w:w="300"/>
            </w:tcMar>
          </w:tcPr>
          <w:p>
            <w:pPr>
              <w:spacing w:before="0" w:after="40"/>
              <w:jc w:val="center"/>
            </w:pPr>
            <w:r>
              <w:rPr>
                <w:rFonts w:ascii="Arial" w:cs="Arial" w:eastAsia="Arial" w:hAnsi="Arial"/>
                <w:b/>
                <w:bCs/>
                <w:i w:val="false"/>
                <w:iCs w:val="false"/>
                <w:color w:val="1B4D35"/>
                <w:sz w:val="32"/>
                <w:szCs w:val="32"/>
              </w:rPr>
              <w:t xml:space="preserve">KEBIJAKAN PRIVILEGED ACCESS MANAGEMENT</w:t>
            </w:r>
          </w:p>
          <w:p>
            <w:pPr>
              <w:spacing w:before="0" w:after="80"/>
              <w:jc w:val="center"/>
            </w:pPr>
            <w:r>
              <w:rPr>
                <w:rFonts w:ascii="Arial" w:cs="Arial" w:eastAsia="Arial" w:hAnsi="Arial"/>
                <w:b w:val="false"/>
                <w:bCs w:val="false"/>
                <w:i/>
                <w:iCs/>
                <w:color w:val="2D7A4F"/>
                <w:sz w:val="20"/>
                <w:szCs w:val="20"/>
              </w:rPr>
              <w:t xml:space="preserve">Privileged Access Management (PAM) Policy — PT Equity Life Indonesia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Kode Dokumen</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Versi</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Status</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Klasifikasi</w:t>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ELI-POL-ITS-006</w:t>
            </w:r>
          </w:p>
        </w:tc>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v1.0</w:t>
            </w:r>
          </w:p>
        </w:tc>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Aktif</w:t>
            </w:r>
          </w:p>
        </w:tc>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INTERNAL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Pemilik Dokumen</w:t>
            </w:r>
          </w:p>
        </w:tc>
        <w:tc>
          <w:tcPr>
            <w:tcW w:type="dxa" w:w="7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CISO / IT Manager</w:t>
            </w:r>
          </w:p>
        </w:tc>
      </w:tr>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Berlaku untuk</w:t>
            </w:r>
          </w:p>
        </w:tc>
        <w:tc>
          <w:tcPr>
            <w:tcW w:type="dxa" w:w="7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Seluruh pengguna yang memiliki atau mengajukan hak akses istimewa (privileged access) pada sistem informasi PT Equity Life Indonesia</w:t>
            </w:r>
          </w:p>
        </w:tc>
      </w:tr>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Tanggal Berlaku</w:t>
            </w:r>
          </w:p>
        </w:tc>
        <w:tc>
          <w:tcPr>
            <w:tcW w:type="dxa" w:w="7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2026-03-01</w:t>
            </w:r>
          </w:p>
        </w:tc>
      </w:tr>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Review Berikutnya</w:t>
            </w:r>
          </w:p>
        </w:tc>
        <w:tc>
          <w:tcPr>
            <w:tcW w:type="dxa" w:w="7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Setiap 6 bulan atau jika terjadi perubahan signifikan pada infrastruktur / regulasi</w:t>
            </w:r>
          </w:p>
        </w:tc>
      </w:tr>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Referensi ISO</w:t>
            </w:r>
          </w:p>
        </w:tc>
        <w:tc>
          <w:tcPr>
            <w:tcW w:type="dxa" w:w="7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ISO/IEC 27001:2022 — A.5.15, A.5.16, A.5.17, A.5.18, A.8.2, A.8.18; NIST SP 800-53 AC-2, AC-6; CIS Control 5, 6; POJK No.11/2022</w:t>
            </w:r>
          </w:p>
        </w:tc>
      </w:tr>
    </w:tbl>
    <w:p>
      <w:pPr>
        <w:spacing w:after="100"/>
      </w:pPr>
      <w:r>
        <w:t xml:space="preserve"/>
      </w:r>
    </w:p>
    <w:p>
      <w:pPr>
        <w:pStyle w:val="Heading2"/>
        <w:spacing w:before="220" w:after="100"/>
      </w:pPr>
      <w:r>
        <w:rPr>
          <w:rFonts w:ascii="Arial" w:cs="Arial" w:eastAsia="Arial" w:hAnsi="Arial"/>
          <w:b/>
          <w:bCs/>
          <w:i w:val="false"/>
          <w:iCs w:val="false"/>
          <w:color w:val="2D7A4F"/>
          <w:sz w:val="26"/>
          <w:szCs w:val="26"/>
        </w:rPr>
        <w:t xml:space="preserve">Riwayat Versi</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000"/>
        <w:gridCol w:w="2000"/>
        <w:gridCol w:w="2560"/>
      </w:tblGrid>
      <w:tr>
        <w:tc>
          <w:tcPr>
            <w:tcW w:type="dxa" w:w="1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Versi</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Tanggal</w:t>
            </w:r>
          </w:p>
        </w:tc>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Penulis</w:t>
            </w:r>
          </w:p>
        </w:tc>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Reviewer</w:t>
            </w:r>
          </w:p>
        </w:tc>
        <w:tc>
          <w:tcPr>
            <w:tcW w:type="dxa" w:w="25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w:t>
            </w:r>
          </w:p>
        </w:tc>
      </w:tr>
      <w:tr>
        <w:tc>
          <w:tcPr>
            <w:tcW w:type="dxa" w:w="1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v1.0</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2026-03-01</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Security Team</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CISO / IT Manager</w:t>
            </w:r>
          </w:p>
        </w:tc>
        <w:tc>
          <w:tcPr>
            <w:tcW w:type="dxa" w:w="2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Dokumen awal — Kebijakan PAM ELI</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1. PENDAHULUAN</w:t>
      </w:r>
    </w:p>
    <w:p>
      <w:pPr>
        <w:pStyle w:val="Heading2"/>
        <w:spacing w:before="220" w:after="100"/>
      </w:pPr>
      <w:r>
        <w:rPr>
          <w:rFonts w:ascii="Arial" w:cs="Arial" w:eastAsia="Arial" w:hAnsi="Arial"/>
          <w:b/>
          <w:bCs/>
          <w:i w:val="false"/>
          <w:iCs w:val="false"/>
          <w:color w:val="2D7A4F"/>
          <w:sz w:val="26"/>
          <w:szCs w:val="26"/>
        </w:rPr>
        <w:t xml:space="preserve">1.1 Latar Belakang</w:t>
      </w:r>
    </w:p>
    <w:p>
      <w:pPr>
        <w:spacing w:before="0" w:after="160"/>
        <w:jc w:val="left"/>
      </w:pPr>
      <w:r>
        <w:rPr>
          <w:rFonts w:ascii="Arial" w:cs="Arial" w:eastAsia="Arial" w:hAnsi="Arial"/>
          <w:b w:val="false"/>
          <w:bCs w:val="false"/>
          <w:i w:val="false"/>
          <w:iCs w:val="false"/>
          <w:color w:val="1A1A1A"/>
          <w:sz w:val="20"/>
          <w:szCs w:val="20"/>
        </w:rPr>
        <w:t xml:space="preserve">Akses istimewa (privileged access) merupakan salah satu aset yang paling berharga sekaligus paling berbahaya dalam infrastruktur teknologi informasi. Akun dengan hak istimewa — seperti administrator sistem, database administrator, dan akun layanan — memiliki kemampuan untuk mengubah konfigurasi, mengakses seluruh data, menghapus log, dan mematikan sistem. Penyalahgunaan atau kompromi terhadap akun istimewa dapat mengakibatkan kerugian finansial, kebocoran data nasabah, dan kerusakan reputasi yang permanen.</w:t>
      </w:r>
    </w:p>
    <w:p>
      <w:pPr>
        <w:spacing w:before="0" w:after="160"/>
        <w:jc w:val="left"/>
      </w:pPr>
      <w:r>
        <w:rPr>
          <w:rFonts w:ascii="Arial" w:cs="Arial" w:eastAsia="Arial" w:hAnsi="Arial"/>
          <w:b w:val="false"/>
          <w:bCs w:val="false"/>
          <w:i w:val="false"/>
          <w:iCs w:val="false"/>
          <w:color w:val="1A1A1A"/>
          <w:sz w:val="20"/>
          <w:szCs w:val="20"/>
        </w:rPr>
        <w:t xml:space="preserve">PT Equity Life Indonesia (ELI) mewajibkan penerapan Privileged Access Management (PAM) sebagai salah satu kontrol keamanan prioritas tertinggi, sejalan dengan ISO/IEC 27001:2022 Klausul A.5.15–A.5.18 dan A.8.18, serta persyaratan POJK No.11/2022 tentang tata kelola TI di industri perasuransian.</w:t>
      </w:r>
    </w:p>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1.2 Tujuan</w:t>
      </w:r>
    </w:p>
    <w:p>
      <w:pPr>
        <w:spacing w:before="0" w:after="100"/>
        <w:jc w:val="left"/>
      </w:pPr>
      <w:r>
        <w:rPr>
          <w:rFonts w:ascii="Arial" w:cs="Arial" w:eastAsia="Arial" w:hAnsi="Arial"/>
          <w:b w:val="false"/>
          <w:bCs w:val="false"/>
          <w:i w:val="false"/>
          <w:iCs w:val="false"/>
          <w:color w:val="1A1A1A"/>
          <w:sz w:val="20"/>
          <w:szCs w:val="20"/>
        </w:rPr>
        <w:t xml:space="preserve">Kebijakan ini bertujuan untuk:</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Menetapkan persyaratan minimum tata kelola akun dan akses istimewa di seluruh sistem ELI.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Memastikan prinsip Least Privilege dan Need-to-Know diterapkan secara konsisten.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Mencegah penyalahgunaan, escalation of privilege, dan lateral movement oleh ancaman internal maupun eksternal.</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Mewajibkan autentikasi kuat, sesi monitoring, dan audit trail untuk semua aktivitas privileged.</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Memastikan review berkala dan pencabutan akses istimewa yang tidak lagi diperlukan.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Memenuhi persyaratan audit ISO 27001 dan regulasi OJK terkait tata kelola akses.</w:t>
      </w:r>
    </w:p>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1.3 Ruang Lingkup</w:t>
      </w:r>
    </w:p>
    <w:p>
      <w:pPr>
        <w:spacing w:before="0" w:after="100"/>
        <w:jc w:val="left"/>
      </w:pPr>
      <w:r>
        <w:rPr>
          <w:rFonts w:ascii="Arial" w:cs="Arial" w:eastAsia="Arial" w:hAnsi="Arial"/>
          <w:b w:val="false"/>
          <w:bCs w:val="false"/>
          <w:i w:val="false"/>
          <w:iCs w:val="false"/>
          <w:color w:val="1A1A1A"/>
          <w:sz w:val="20"/>
          <w:szCs w:val="20"/>
        </w:rPr>
        <w:t xml:space="preserve">Kebijakan ini berlaku untuk semua akun, peran, dan sistem berikut: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Akun administrator sistem operasi (root, Administrator, Domain Admin, Local Admin).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Akun administrator database (DBA, SA, sys, SYSDBA).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Akun administrator jaringan (router, switch, firewall, load balancer).</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Akun administrator aplikasi (application admin, system owner account).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Akun layanan (service accounts, scheduled task accounts, API service accounts).</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Akun cloud privileged (AWS IAM Admin, Azure Global Admin, GCP Owner).</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Akun keamanan (SIEM admin, PAM tool admin, antivirus admin, EDR admin).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Akun emergency / break-glass yang digunakan untuk pemulihan darurat.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Seluruh karyawan, kontraktor, vendor, dan pihak ketiga yang memiliki atau mengajukan hak akses istimewa.</w:t>
      </w:r>
    </w:p>
    <w:p>
      <w:pPr>
        <w:spacing w:after="120"/>
      </w:pPr>
      <w:r>
        <w:t xml:space="preserve"/>
      </w:r>
    </w:p>
    <w:p>
      <w:pPr>
        <w:pStyle w:val="Heading1"/>
        <w:pageBreakBefore/>
      </w:pPr>
      <w:r>
        <w:rPr>
          <w:rFonts w:ascii="Arial" w:cs="Arial" w:eastAsia="Arial" w:hAnsi="Arial"/>
          <w:b/>
          <w:bCs/>
          <w:i w:val="false"/>
          <w:iCs w:val="false"/>
          <w:color w:val="1B4D35"/>
          <w:sz w:val="36"/>
          <w:szCs w:val="36"/>
        </w:rPr>
        <w:t xml:space="preserve">2. REFERENSI NORMATIF</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Referensi</w:t>
            </w:r>
          </w:p>
        </w:tc>
        <w:tc>
          <w:tcPr>
            <w:tcW w:type="dxa" w:w="43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Judul</w:t>
            </w:r>
          </w:p>
        </w:tc>
        <w:tc>
          <w:tcPr>
            <w:tcW w:type="dxa" w:w="2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Klausul / Kontrol Relevan</w:t>
            </w:r>
          </w:p>
        </w:tc>
      </w:tr>
      <w:tr>
        <w:tc>
          <w:tcPr>
            <w:tcW w:type="dxa" w:w="2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ISO/IEC 27001:2022</w:t>
            </w:r>
          </w:p>
        </w:tc>
        <w:tc>
          <w:tcPr>
            <w:tcW w:type="dxa" w:w="4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ISMS Requirements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A.5.15, A.5.16, A.5.17, A.5.18, A.8.2, A.8.18</w:t>
            </w:r>
          </w:p>
        </w:tc>
      </w:tr>
      <w:tr>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ISO/IEC 27002:2022</w:t>
            </w:r>
          </w:p>
        </w:tc>
        <w:tc>
          <w:tcPr>
            <w:tcW w:type="dxa" w:w="4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Information Security Controls</w:t>
            </w:r>
          </w:p>
        </w:tc>
        <w:tc>
          <w:tcPr>
            <w:tcW w:type="dxa" w:w="2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5.15–5.18, 8.2, 8.18</w:t>
            </w:r>
          </w:p>
        </w:tc>
      </w:tr>
      <w:tr>
        <w:tc>
          <w:tcPr>
            <w:tcW w:type="dxa" w:w="2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NIST SP 800-53 Rev.5</w:t>
            </w:r>
          </w:p>
        </w:tc>
        <w:tc>
          <w:tcPr>
            <w:tcW w:type="dxa" w:w="4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Security and Privacy Controls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AC-2, AC-3, AC-5, AC-6, AU-9, IA-2, IA-5</w:t>
            </w:r>
          </w:p>
        </w:tc>
      </w:tr>
      <w:tr>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NIST SP 800-63B</w:t>
            </w:r>
          </w:p>
        </w:tc>
        <w:tc>
          <w:tcPr>
            <w:tcW w:type="dxa" w:w="4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Digital Identity Guidelines</w:t>
            </w:r>
          </w:p>
        </w:tc>
        <w:tc>
          <w:tcPr>
            <w:tcW w:type="dxa" w:w="2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Authenticator assurance levels</w:t>
            </w:r>
          </w:p>
        </w:tc>
      </w:tr>
      <w:tr>
        <w:tc>
          <w:tcPr>
            <w:tcW w:type="dxa" w:w="2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CIS Controls v8</w:t>
            </w:r>
          </w:p>
        </w:tc>
        <w:tc>
          <w:tcPr>
            <w:tcW w:type="dxa" w:w="4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Center for Internet Security Controls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Control 5 (Account Mgmt), Control 6 (Access Mgmt)</w:t>
            </w:r>
          </w:p>
        </w:tc>
      </w:tr>
      <w:tr>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POJK No.11/2022</w:t>
            </w:r>
          </w:p>
        </w:tc>
        <w:tc>
          <w:tcPr>
            <w:tcW w:type="dxa" w:w="4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Tata Kelola TI Perasuransian</w:t>
            </w:r>
          </w:p>
        </w:tc>
        <w:tc>
          <w:tcPr>
            <w:tcW w:type="dxa" w:w="2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Pasal 12, 15, 25, 27</w:t>
            </w:r>
          </w:p>
        </w:tc>
      </w:tr>
      <w:tr>
        <w:tc>
          <w:tcPr>
            <w:tcW w:type="dxa" w:w="2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PCI DSS v4.0</w:t>
            </w:r>
          </w:p>
        </w:tc>
        <w:tc>
          <w:tcPr>
            <w:tcW w:type="dxa" w:w="4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Payment Card Industry Data Security Standard</w:t>
            </w:r>
          </w:p>
        </w:tc>
        <w:tc>
          <w:tcPr>
            <w:tcW w:type="dxa" w:w="2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Req. 7, 8 (Access Control)</w:t>
            </w:r>
          </w:p>
        </w:tc>
      </w:tr>
      <w:tr>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ELI-POL-ITS-001</w:t>
            </w:r>
          </w:p>
        </w:tc>
        <w:tc>
          <w:tcPr>
            <w:tcW w:type="dxa" w:w="4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Keamanan Informasi ELI</w:t>
            </w:r>
          </w:p>
        </w:tc>
        <w:tc>
          <w:tcPr>
            <w:tcW w:type="dxa" w:w="2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induk ISMS</w:t>
            </w:r>
          </w:p>
        </w:tc>
      </w:tr>
      <w:tr>
        <w:tc>
          <w:tcPr>
            <w:tcW w:type="dxa" w:w="2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ELI-SOP-ITS-006</w:t>
            </w:r>
          </w:p>
        </w:tc>
        <w:tc>
          <w:tcPr>
            <w:tcW w:type="dxa" w:w="4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SOP Privileged Access Management</w:t>
            </w:r>
          </w:p>
        </w:tc>
        <w:tc>
          <w:tcPr>
            <w:tcW w:type="dxa" w:w="2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Prosedur pelaksanaan</w:t>
            </w:r>
          </w:p>
        </w:tc>
      </w:tr>
      <w:tr>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ELI-FORM-ITS-007</w:t>
            </w:r>
          </w:p>
        </w:tc>
        <w:tc>
          <w:tcPr>
            <w:tcW w:type="dxa" w:w="4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Formulir Penunjukan Privileged User</w:t>
            </w:r>
          </w:p>
        </w:tc>
        <w:tc>
          <w:tcPr>
            <w:tcW w:type="dxa" w:w="2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Form pengajuan akses istimewa</w:t>
            </w:r>
          </w:p>
        </w:tc>
      </w:tr>
      <w:tr>
        <w:tc>
          <w:tcPr>
            <w:tcW w:type="dxa" w:w="2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ELI-FORM-ITS-008</w:t>
            </w:r>
          </w:p>
        </w:tc>
        <w:tc>
          <w:tcPr>
            <w:tcW w:type="dxa" w:w="4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Formulir Review Privileged Access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Form review berkala akses istimewa</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3. DEFINISI DAN SINGKATAN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Istilah</w:t>
            </w:r>
          </w:p>
        </w:tc>
        <w:tc>
          <w:tcPr>
            <w:tcW w:type="dxa" w:w="63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Definisi</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Privileged Access</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Hak akses yang melampaui hak pengguna biasa, memberikan kemampuan untuk mengonfigurasi sistem, mengelola akun, mengakses seluruh data, atau melakukan tindakan administratif lainnya.</w:t>
            </w:r>
          </w:p>
        </w:tc>
      </w:tr>
      <w:tr>
        <w:tc>
          <w:tcPr>
            <w:tcW w:type="dxa" w:w="3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Privileged Account</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Akun yang memiliki hak istimewa (privileged access), termasuk akun administrator, akun layanan, dan akun darurat.</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Least Privilege</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Prinsip bahwa setiap pengguna, proses, atau sistem hanya diberikan hak akses minimum yang dibutuhkan untuk menjalankan fungsinya.</w:t>
            </w:r>
          </w:p>
        </w:tc>
      </w:tr>
      <w:tr>
        <w:tc>
          <w:tcPr>
            <w:tcW w:type="dxa" w:w="3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Privileged Access Management (PAM)</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Kerangka kerja kebijakan, proses, dan teknologi untuk mengelola, mengamankan, memantau, dan mengaudit akun dan akses istimewa.</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Just-In-Time (JIT) Access</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Model akses di mana hak istimewa hanya diberikan pada saat dibutuhkan dan dicabut segera setelah tugas selesai, tanpa hak istimewa persisten.</w:t>
            </w:r>
          </w:p>
        </w:tc>
      </w:tr>
      <w:tr>
        <w:tc>
          <w:tcPr>
            <w:tcW w:type="dxa" w:w="3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Standing Privileges</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Hak istimewa yang bersifat permanen dan selalu aktif, tanpa batasan waktu.</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Break-Glass Account</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Akun darurat dengan hak akses sangat tinggi yang hanya digunakan dalam kondisi darurat yang tidak dapat diatasi oleh akun biasa.</w:t>
            </w:r>
          </w:p>
        </w:tc>
      </w:tr>
      <w:tr>
        <w:tc>
          <w:tcPr>
            <w:tcW w:type="dxa" w:w="3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Privilege Escalation</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Proses mendapatkan hak akses yang lebih tinggi dari yang semestinya dimiliki, baik melalui cara sah maupun tidak sah.</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Session Recording</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Perekaman seluruh aktivitas yang dilakukan selama sesi privileged, untuk keperluan audit dan investigasi forensik.</w:t>
            </w:r>
          </w:p>
        </w:tc>
      </w:tr>
      <w:tr>
        <w:tc>
          <w:tcPr>
            <w:tcW w:type="dxa" w:w="3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Separation of Duties (SoD)</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Prinsip bahwa tugas-tugas kritis dibagi antara beberapa individu sehingga tidak ada satu orang yang memiliki kendali penuh atas proses tersebut.</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MFA (Multi-Factor Authentication)</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Mekanisme autentikasi yang mensyaratkan dua atau lebih faktor verifikasi dari kategori berbeda: sesuatu yang diketahui, dimiliki, atau ada pada diri pengguna.</w:t>
            </w:r>
          </w:p>
        </w:tc>
      </w:tr>
      <w:tr>
        <w:tc>
          <w:tcPr>
            <w:tcW w:type="dxa" w:w="3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PAM Tool</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Perangkat lunak khusus untuk mengelola dan mengamankan akses istimewa, umumnya mencakup: vault kata sandi, session recording, dan JIT access.</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Shared Account</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Akun yang digunakan oleh lebih dari satu individu — praktik yang sangat dilarang untuk akun istimewa.</w:t>
            </w:r>
          </w:p>
        </w:tc>
      </w:tr>
      <w:tr>
        <w:tc>
          <w:tcPr>
            <w:tcW w:type="dxa" w:w="3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Service Account</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Akun non-manusia yang digunakan oleh aplikasi, skrip, atau layanan sistem untuk menjalankan proses otomatis.</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PAM Administrator</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Individu yang bertanggung jawab mengelola platform PAM di ELI.</w:t>
            </w:r>
          </w:p>
        </w:tc>
      </w:tr>
      <w:tr>
        <w:tc>
          <w:tcPr>
            <w:tcW w:type="dxa" w:w="3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CISO</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Chief Information Security Officer.</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4. KEBIJAKAN</w:t>
      </w:r>
    </w:p>
    <w:p>
      <w:pPr>
        <w:pStyle w:val="Heading2"/>
        <w:spacing w:before="220" w:after="100"/>
      </w:pPr>
      <w:r>
        <w:rPr>
          <w:rFonts w:ascii="Arial" w:cs="Arial" w:eastAsia="Arial" w:hAnsi="Arial"/>
          <w:b/>
          <w:bCs/>
          <w:i w:val="false"/>
          <w:iCs w:val="false"/>
          <w:color w:val="2D7A4F"/>
          <w:sz w:val="26"/>
          <w:szCs w:val="26"/>
        </w:rPr>
        <w:t xml:space="preserve">4.1 Prinsip-Prinsip PAM</w:t>
      </w:r>
    </w:p>
    <w:p>
      <w:pPr>
        <w:spacing w:before="0" w:after="100"/>
        <w:jc w:val="left"/>
      </w:pPr>
      <w:r>
        <w:rPr>
          <w:rFonts w:ascii="Arial" w:cs="Arial" w:eastAsia="Arial" w:hAnsi="Arial"/>
          <w:b w:val="false"/>
          <w:bCs w:val="false"/>
          <w:i w:val="false"/>
          <w:iCs w:val="false"/>
          <w:color w:val="1A1A1A"/>
          <w:sz w:val="20"/>
          <w:szCs w:val="20"/>
        </w:rPr>
        <w:t xml:space="preserve">Seluruh tata kelola akses istimewa di ELI didasarkan pada prinsip-prinsip berikut: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Prinsip</w:t>
            </w:r>
          </w:p>
        </w:tc>
        <w:tc>
          <w:tcPr>
            <w:tcW w:type="dxa" w:w="3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Penjelasan</w:t>
            </w:r>
          </w:p>
        </w:tc>
        <w:tc>
          <w:tcPr>
            <w:tcW w:type="dxa" w:w="35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Implementasi di ELI</w:t>
            </w:r>
          </w:p>
        </w:tc>
      </w:tr>
      <w:tr>
        <w:tc>
          <w:tcPr>
            <w:tcW w:type="dxa" w:w="2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Least Privilege</w:t>
            </w:r>
          </w:p>
        </w:tc>
        <w:tc>
          <w:tcPr>
            <w:tcW w:type="dxa" w:w="3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Hanya berikan hak minimum yang diperlukan untuk pekerjaan tertentu.</w:t>
            </w:r>
          </w:p>
        </w:tc>
        <w:tc>
          <w:tcPr>
            <w:tcW w:type="dxa" w:w="3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Role-based access; tidak ada akses admin permanen tanpa justifikasi; review 6 bulanan</w:t>
            </w:r>
          </w:p>
        </w:tc>
      </w:tr>
      <w:tr>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Need-to-Know</w:t>
            </w:r>
          </w:p>
        </w:tc>
        <w:tc>
          <w:tcPr>
            <w:tcW w:type="dxa" w:w="3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Akses hanya diberikan jika ada kebutuhan bisnis yang sah dan terdokumentasi.</w:t>
            </w:r>
          </w:p>
        </w:tc>
        <w:tc>
          <w:tcPr>
            <w:tcW w:type="dxa" w:w="3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Setiap permohonan akses wajib memiliki justifikasi bisnis yang disetujui manajer</w:t>
            </w:r>
          </w:p>
        </w:tc>
      </w:tr>
      <w:tr>
        <w:tc>
          <w:tcPr>
            <w:tcW w:type="dxa" w:w="2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Separation of Duties</w:t>
            </w:r>
          </w:p>
        </w:tc>
        <w:tc>
          <w:tcPr>
            <w:tcW w:type="dxa" w:w="3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Tugas administrasi kritis dibagi antar individu.</w:t>
            </w:r>
          </w:p>
        </w:tc>
        <w:tc>
          <w:tcPr>
            <w:tcW w:type="dxa" w:w="3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Developer tidak boleh memiliki akses admin ke production; DBA tidak boleh admin OS</w:t>
            </w:r>
          </w:p>
        </w:tc>
      </w:tr>
      <w:tr>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Zero Trust</w:t>
            </w:r>
          </w:p>
        </w:tc>
        <w:tc>
          <w:tcPr>
            <w:tcW w:type="dxa" w:w="3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Verifikasi selalu; jangan percaya secara default bahkan untuk pengguna internal.</w:t>
            </w:r>
          </w:p>
        </w:tc>
        <w:tc>
          <w:tcPr>
            <w:tcW w:type="dxa" w:w="3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MFA wajib; sesi monitoring; JIT access untuk akses ke sistem kritikal</w:t>
            </w:r>
          </w:p>
        </w:tc>
      </w:tr>
      <w:tr>
        <w:tc>
          <w:tcPr>
            <w:tcW w:type="dxa" w:w="2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Akuntabilitas Individual</w:t>
            </w:r>
          </w:p>
        </w:tc>
        <w:tc>
          <w:tcPr>
            <w:tcW w:type="dxa" w:w="3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Setiap tindakan privileged harus dapat ditelusuri ke individu tertentu.</w:t>
            </w:r>
          </w:p>
        </w:tc>
        <w:tc>
          <w:tcPr>
            <w:tcW w:type="dxa" w:w="3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Dilarang shared account; session recording wajib; audit log immutable</w:t>
            </w:r>
          </w:p>
        </w:tc>
      </w:tr>
      <w:tr>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Time-Bound Access</w:t>
            </w:r>
          </w:p>
        </w:tc>
        <w:tc>
          <w:tcPr>
            <w:tcW w:type="dxa" w:w="3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Akses istimewa memiliki batas waktu dan dicabut otomatis setelah selesai.</w:t>
            </w:r>
          </w:p>
        </w:tc>
        <w:tc>
          <w:tcPr>
            <w:tcW w:type="dxa" w:w="3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JIT access via PAM tool; expiry date wajib pada akun sementara</w:t>
            </w:r>
          </w:p>
        </w:tc>
      </w:tr>
    </w:tbl>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4.2 Klasifikasi Akun Istimewa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360"/>
        <w:gridCol w:w="1300"/>
        <w:gridCol w:w="3400"/>
      </w:tblGrid>
      <w:tr>
        <w:tc>
          <w:tcPr>
            <w:tcW w:type="dxa" w:w="7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Tier</w:t>
            </w:r>
          </w:p>
        </w:tc>
        <w:tc>
          <w:tcPr>
            <w:tcW w:type="dxa" w:w="1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Nama Tier</w:t>
            </w:r>
          </w:p>
        </w:tc>
        <w:tc>
          <w:tcPr>
            <w:tcW w:type="dxa" w:w="23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Contoh Akun</w:t>
            </w:r>
          </w:p>
        </w:tc>
        <w:tc>
          <w:tcPr>
            <w:tcW w:type="dxa" w:w="13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Level Risiko</w:t>
            </w:r>
          </w:p>
        </w:tc>
        <w:tc>
          <w:tcPr>
            <w:tcW w:type="dxa" w:w="34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Kontrol Minimum</w:t>
            </w:r>
          </w:p>
        </w:tc>
      </w:tr>
      <w:tr>
        <w:tc>
          <w:tcPr>
            <w:tcW w:type="dxa" w:w="7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0</w:t>
            </w:r>
          </w:p>
        </w:tc>
        <w:tc>
          <w:tcPr>
            <w:tcW w:type="dxa" w:w="1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Domain / Cloud Admin</w:t>
            </w:r>
          </w:p>
        </w:tc>
        <w:tc>
          <w:tcPr>
            <w:tcW w:type="dxa" w:w="2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Domain Admin, Azure Global Admin, AWS Root</w:t>
            </w:r>
          </w:p>
        </w:tc>
        <w:tc>
          <w:tcPr>
            <w:tcW w:type="dxa" w:w="13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KRITIS</w:t>
            </w:r>
          </w:p>
        </w:tc>
        <w:tc>
          <w:tcPr>
            <w:tcW w:type="dxa" w:w="3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JIT only; MFA hardware token; session recording; approval CISO</w:t>
            </w:r>
          </w:p>
        </w:tc>
      </w:tr>
      <w:tr>
        <w:tc>
          <w:tcPr>
            <w:tcW w:type="dxa" w:w="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1</w:t>
            </w:r>
          </w:p>
        </w:tc>
        <w:tc>
          <w:tcPr>
            <w:tcW w:type="dxa" w:w="1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Infrastructure Admin</w:t>
            </w:r>
          </w:p>
        </w:tc>
        <w:tc>
          <w:tcPr>
            <w:tcW w:type="dxa" w:w="2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Server local admin, Hypervisor admin, Network admin</w:t>
            </w:r>
          </w:p>
        </w:tc>
        <w:tc>
          <w:tcPr>
            <w:tcW w:type="dxa" w:w="13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TINGGI</w:t>
            </w:r>
          </w:p>
        </w:tc>
        <w:tc>
          <w:tcPr>
            <w:tcW w:type="dxa" w:w="3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MFA; session recording; PAM vault; review bulanan</w:t>
            </w:r>
          </w:p>
        </w:tc>
      </w:tr>
      <w:tr>
        <w:tc>
          <w:tcPr>
            <w:tcW w:type="dxa" w:w="7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2</w:t>
            </w:r>
          </w:p>
        </w:tc>
        <w:tc>
          <w:tcPr>
            <w:tcW w:type="dxa" w:w="1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Application &amp; DB Admin</w:t>
            </w:r>
          </w:p>
        </w:tc>
        <w:tc>
          <w:tcPr>
            <w:tcW w:type="dxa" w:w="2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Application admin, DBA, SIEM admin</w:t>
            </w:r>
          </w:p>
        </w:tc>
        <w:tc>
          <w:tcPr>
            <w:tcW w:type="dxa" w:w="13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SEDANG-TINGGI</w:t>
            </w:r>
          </w:p>
        </w:tc>
        <w:tc>
          <w:tcPr>
            <w:tcW w:type="dxa" w:w="3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MFA; PAM vault; log semua aktivitas; review 3 bulanan</w:t>
            </w:r>
          </w:p>
        </w:tc>
      </w:tr>
      <w:tr>
        <w:tc>
          <w:tcPr>
            <w:tcW w:type="dxa" w:w="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3</w:t>
            </w:r>
          </w:p>
        </w:tc>
        <w:tc>
          <w:tcPr>
            <w:tcW w:type="dxa" w:w="1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Service Accounts</w:t>
            </w:r>
          </w:p>
        </w:tc>
        <w:tc>
          <w:tcPr>
            <w:tcW w:type="dxa" w:w="2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Scheduled tasks, API service, backup agents</w:t>
            </w:r>
          </w:p>
        </w:tc>
        <w:tc>
          <w:tcPr>
            <w:tcW w:type="dxa" w:w="13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SEDANG</w:t>
            </w:r>
          </w:p>
        </w:tc>
        <w:tc>
          <w:tcPr>
            <w:tcW w:type="dxa" w:w="3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Password rotation otomatis; monitoring anomali; review 6 bulanan</w:t>
            </w:r>
          </w:p>
        </w:tc>
      </w:tr>
      <w:tr>
        <w:tc>
          <w:tcPr>
            <w:tcW w:type="dxa" w:w="7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4</w:t>
            </w:r>
          </w:p>
        </w:tc>
        <w:tc>
          <w:tcPr>
            <w:tcW w:type="dxa" w:w="1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Emergency / Break-Glass</w:t>
            </w:r>
          </w:p>
        </w:tc>
        <w:tc>
          <w:tcPr>
            <w:tcW w:type="dxa" w:w="2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Recovery admin, DR account</w:t>
            </w:r>
          </w:p>
        </w:tc>
        <w:tc>
          <w:tcPr>
            <w:tcW w:type="dxa" w:w="13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KRITIS</w:t>
            </w:r>
          </w:p>
        </w:tc>
        <w:tc>
          <w:tcPr>
            <w:tcW w:type="dxa" w:w="3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Disegel; dual approval; wajib laporan pasca-penggunaan</w:t>
            </w:r>
          </w:p>
        </w:tc>
      </w:tr>
    </w:tbl>
    <w:p>
      <w:pPr>
        <w:spacing w:after="120"/>
      </w:pPr>
      <w:r>
        <w:t xml:space="preserve"/>
      </w:r>
    </w:p>
    <w:p>
      <w:pPr>
        <w:pStyle w:val="Heading2"/>
        <w:spacing w:before="220" w:after="100"/>
      </w:pPr>
      <w:r>
        <w:rPr>
          <w:rFonts w:ascii="Arial" w:cs="Arial" w:eastAsia="Arial" w:hAnsi="Arial"/>
          <w:b/>
          <w:bCs/>
          <w:i w:val="false"/>
          <w:iCs w:val="false"/>
          <w:color w:val="2D7A4F"/>
          <w:sz w:val="26"/>
          <w:szCs w:val="26"/>
        </w:rPr>
        <w:t xml:space="preserve">4.3 Tata Kelola Akun Istimewa</w:t>
      </w:r>
    </w:p>
    <w:p>
      <w:pPr>
        <w:pStyle w:val="Heading3"/>
        <w:spacing w:before="160" w:after="80"/>
      </w:pPr>
      <w:r>
        <w:rPr>
          <w:rFonts w:ascii="Arial" w:cs="Arial" w:eastAsia="Arial" w:hAnsi="Arial"/>
          <w:b/>
          <w:bCs/>
          <w:i w:val="false"/>
          <w:iCs w:val="false"/>
          <w:color w:val="2D7A4F"/>
          <w:sz w:val="22"/>
          <w:szCs w:val="22"/>
        </w:rPr>
        <w:t xml:space="preserve">4.3.1  Proses Penunjukan dan Pemberian Akses</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Setiap permohonan akses istimewa wajib menggunakan Formulir Penunjukan Privileged User (ELI-FORM-ITS-007).</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Permohonan wajib memuat: justifikasi bisnis yang jelas, jangka waktu akses, sistem yang diminta, dan persetujuan manajer langsung.</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Akses Tier 0 memerlukan persetujuan CISO dan IT Manager. Akses Tier 1–2 memerlukan persetujuan IT Manager. Tier 3 cukup IT Operations Lead.</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IT Security melakukan verifikasi latar belakang tambahan untuk pemohon akses Tier 0 dan Tier 1.</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Akses hanya diaktifkan setelah semua persetujuan diperoleh dan tercatat dalam PAM tool.</w:t>
      </w:r>
    </w:p>
    <w:p>
      <w:pPr>
        <w:spacing w:after="80"/>
      </w:pPr>
      <w:r>
        <w:t xml:space="preserve"/>
      </w:r>
    </w:p>
    <w:p>
      <w:pPr>
        <w:pStyle w:val="Heading3"/>
        <w:spacing w:before="160" w:after="80"/>
      </w:pPr>
      <w:r>
        <w:rPr>
          <w:rFonts w:ascii="Arial" w:cs="Arial" w:eastAsia="Arial" w:hAnsi="Arial"/>
          <w:b/>
          <w:bCs/>
          <w:i w:val="false"/>
          <w:iCs w:val="false"/>
          <w:color w:val="2D7A4F"/>
          <w:sz w:val="22"/>
          <w:szCs w:val="22"/>
        </w:rPr>
        <w:t xml:space="preserve">4.3.2  Autentikasi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DECEA" w:val="clear"/>
            <w:tcMar>
              <w:top w:type="dxa" w:w="100"/>
              <w:left w:type="dxa" w:w="200"/>
              <w:bottom w:type="dxa" w:w="100"/>
              <w:right w:type="dxa" w:w="200"/>
            </w:tcMar>
          </w:tcPr>
          <w:p>
            <w:pPr>
              <w:spacing w:before="0" w:after="80"/>
              <w:jc w:val="left"/>
            </w:pPr>
            <w:r>
              <w:rPr>
                <w:rFonts w:ascii="Arial" w:cs="Arial" w:eastAsia="Arial" w:hAnsi="Arial"/>
                <w:b/>
                <w:bCs/>
                <w:i w:val="false"/>
                <w:iCs w:val="false"/>
                <w:color w:val="C0392B"/>
                <w:sz w:val="19"/>
                <w:szCs w:val="19"/>
              </w:rPr>
              <w:t xml:space="preserve">WAJIB: Seluruh akun istimewa Tier 0–2 HARUS menggunakan Multi-Factor Authentication (MFA). Penggunaan password tunggal untuk akun istimewa adalah pelanggaran kebijakan.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60"/>
        <w:gridCol w:w="5500"/>
      </w:tblGrid>
      <w:tr>
        <w:tc>
          <w:tcPr>
            <w:tcW w:type="dxa" w:w="7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Tier</w:t>
            </w:r>
          </w:p>
        </w:tc>
        <w:tc>
          <w:tcPr>
            <w:tcW w:type="dxa" w:w="31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Metode Autentikasi Minimum</w:t>
            </w:r>
          </w:p>
        </w:tc>
        <w:tc>
          <w:tcPr>
            <w:tcW w:type="dxa" w:w="5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Keterangan</w:t>
            </w:r>
          </w:p>
        </w:tc>
      </w:tr>
      <w:tr>
        <w:tc>
          <w:tcPr>
            <w:tcW w:type="dxa" w:w="7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0</w:t>
            </w:r>
          </w:p>
        </w:tc>
        <w:tc>
          <w:tcPr>
            <w:tcW w:type="dxa" w:w="3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Hardware token (FIDO2/YubiKey) + password kuat</w:t>
            </w:r>
          </w:p>
        </w:tc>
        <w:tc>
          <w:tcPr>
            <w:tcW w:type="dxa" w:w="5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Tidak boleh menggunakan OTP berbasis SMS; hardware token wajib terdaftar di PAM tool</w:t>
            </w:r>
          </w:p>
        </w:tc>
      </w:tr>
      <w:tr>
        <w:tc>
          <w:tcPr>
            <w:tcW w:type="dxa" w:w="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1</w:t>
            </w:r>
          </w:p>
        </w:tc>
        <w:tc>
          <w:tcPr>
            <w:tcW w:type="dxa" w:w="3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MFA (authenticator app / hardware token) + password kuat</w:t>
            </w:r>
          </w:p>
        </w:tc>
        <w:tc>
          <w:tcPr>
            <w:tcW w:type="dxa" w:w="55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TOTP authenticator app minimum; hardware token direkomendasikan</w:t>
            </w:r>
          </w:p>
        </w:tc>
      </w:tr>
      <w:tr>
        <w:tc>
          <w:tcPr>
            <w:tcW w:type="dxa" w:w="7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2</w:t>
            </w:r>
          </w:p>
        </w:tc>
        <w:tc>
          <w:tcPr>
            <w:tcW w:type="dxa" w:w="3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MFA (authenticator app) + password kuat</w:t>
            </w:r>
          </w:p>
        </w:tc>
        <w:tc>
          <w:tcPr>
            <w:tcW w:type="dxa" w:w="5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TOTP authenticator app wajib</w:t>
            </w:r>
          </w:p>
        </w:tc>
      </w:tr>
      <w:tr>
        <w:tc>
          <w:tcPr>
            <w:tcW w:type="dxa" w:w="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3 (Service Accounts)</w:t>
            </w:r>
          </w:p>
        </w:tc>
        <w:tc>
          <w:tcPr>
            <w:tcW w:type="dxa" w:w="3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SSH key / certificate-based auth; dilarang interactive login</w:t>
            </w:r>
          </w:p>
        </w:tc>
        <w:tc>
          <w:tcPr>
            <w:tcW w:type="dxa" w:w="55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Managed secrets via PAM vault; rotasi otomatis</w:t>
            </w:r>
          </w:p>
        </w:tc>
      </w:tr>
      <w:tr>
        <w:tc>
          <w:tcPr>
            <w:tcW w:type="dxa" w:w="7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4 (Break-Glass)</w:t>
            </w:r>
          </w:p>
        </w:tc>
        <w:tc>
          <w:tcPr>
            <w:tcW w:type="dxa" w:w="3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Password tersegel di PAM vault; dual control untuk akses</w:t>
            </w:r>
          </w:p>
        </w:tc>
        <w:tc>
          <w:tcPr>
            <w:tcW w:type="dxa" w:w="5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Envelope/digital sealed; log pengambilan segel wajib</w:t>
            </w:r>
          </w:p>
        </w:tc>
      </w:tr>
    </w:tbl>
    <w:p>
      <w:pPr>
        <w:spacing w:after="80"/>
      </w:pPr>
      <w:r>
        <w:t xml:space="preserve"/>
      </w:r>
    </w:p>
    <w:p>
      <w:pPr>
        <w:pStyle w:val="Heading3"/>
        <w:spacing w:before="160" w:after="80"/>
      </w:pPr>
      <w:r>
        <w:rPr>
          <w:rFonts w:ascii="Arial" w:cs="Arial" w:eastAsia="Arial" w:hAnsi="Arial"/>
          <w:b/>
          <w:bCs/>
          <w:i w:val="false"/>
          <w:iCs w:val="false"/>
          <w:color w:val="2D7A4F"/>
          <w:sz w:val="22"/>
          <w:szCs w:val="22"/>
        </w:rPr>
        <w:t xml:space="preserve">4.3.3  Persyaratan Password</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Password akun istimewa wajib memenuhi: minimal 16 karakter, kombinasi huruf besar/kecil/angka/simbol, bukan kata kamus, bukan variasi nama/tanggal.</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Password akun istimewa Tier 0–2 wajib dikelola melalui PAM vault (tidak boleh disimpan di file teks, email, atau catatan tidak terenkripsi).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Rotasi password wajib dilakukan: Tier 0 setiap 30 hari, Tier 1 setiap 60 hari, Tier 2 setiap 90 hari, Tier 3 otomatis via PAM tool.</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Password tidak boleh digunakan ulang (minimum 12 password terakhir tidak boleh diulang).</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Shared password untuk akun administratif DILARANG dalam kondisi apa pun.</w:t>
      </w:r>
    </w:p>
    <w:p>
      <w:pPr>
        <w:spacing w:after="80"/>
      </w:pPr>
      <w:r>
        <w:t xml:space="preserve"/>
      </w:r>
    </w:p>
    <w:p>
      <w:pPr>
        <w:pStyle w:val="Heading3"/>
        <w:spacing w:before="160" w:after="80"/>
      </w:pPr>
      <w:r>
        <w:rPr>
          <w:rFonts w:ascii="Arial" w:cs="Arial" w:eastAsia="Arial" w:hAnsi="Arial"/>
          <w:b/>
          <w:bCs/>
          <w:i w:val="false"/>
          <w:iCs w:val="false"/>
          <w:color w:val="2D7A4F"/>
          <w:sz w:val="22"/>
          <w:szCs w:val="22"/>
        </w:rPr>
        <w:t xml:space="preserve">4.3.4  Sesi Privileged</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Seluruh sesi privileged Tier 0–2 wajib direkam (session recording) melalui PAM tool.</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Sesi yang tidak aktif (idle session) wajib diputus otomatis setelah maksimal 15 menit untuk Tier 0–1, dan 30 menit untuk Tier 2.</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Tidak diperbolehkan melakukan copy-paste data sensitif keluar dari sesi privileged tanpa otorisasi eksplisit CISO.</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Dilarang melakukan aktivitas non-pekerjaan (browsing, email pribadi) dalam sesi privileged yang aktif.</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Rekaman sesi disimpan minimal 1 tahun dan dilindungi dari penghapusan oleh administrator biasa.</w:t>
      </w:r>
    </w:p>
    <w:p>
      <w:pPr>
        <w:spacing w:after="80"/>
      </w:pPr>
      <w:r>
        <w:t xml:space="preserve"/>
      </w:r>
    </w:p>
    <w:p>
      <w:pPr>
        <w:pStyle w:val="Heading3"/>
        <w:spacing w:before="160" w:after="80"/>
      </w:pPr>
      <w:r>
        <w:rPr>
          <w:rFonts w:ascii="Arial" w:cs="Arial" w:eastAsia="Arial" w:hAnsi="Arial"/>
          <w:b/>
          <w:bCs/>
          <w:i w:val="false"/>
          <w:iCs w:val="false"/>
          <w:color w:val="2D7A4F"/>
          <w:sz w:val="22"/>
          <w:szCs w:val="22"/>
        </w:rPr>
        <w:t xml:space="preserve">4.3.5  Akun Layanan (Service Accounts)</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Setiap service account wajib terdaftar dalam inventaris akun di PAM tool dengan informasi: nama, fungsi, sistem terkait, pemilik, tanggal pembuatan.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Service account tidak boleh digunakan untuk login interaktif oleh manusia.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Hak istimewa service account dibatasi seminimal mungkin sesuai fungsi yang dijalankan.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Password / secret service account wajib dikelola secara otomatis oleh PAM tool (auto-rotation).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Service account yang sudah tidak digunakan wajib dinonaktifkan dalam 5 hari kerja setelah layanan dihentikan.</w:t>
      </w:r>
    </w:p>
    <w:p>
      <w:pPr>
        <w:spacing w:after="80"/>
      </w:pPr>
      <w:r>
        <w:t xml:space="preserve"/>
      </w:r>
    </w:p>
    <w:p>
      <w:pPr>
        <w:pStyle w:val="Heading3"/>
        <w:spacing w:before="160" w:after="80"/>
      </w:pPr>
      <w:r>
        <w:rPr>
          <w:rFonts w:ascii="Arial" w:cs="Arial" w:eastAsia="Arial" w:hAnsi="Arial"/>
          <w:b/>
          <w:bCs/>
          <w:i w:val="false"/>
          <w:iCs w:val="false"/>
          <w:color w:val="2D7A4F"/>
          <w:sz w:val="22"/>
          <w:szCs w:val="22"/>
        </w:rPr>
        <w:t xml:space="preserve">4.3.6  Akun Darurat (Break-Glass)</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Akun break-glass hanya boleh digunakan jika: PAM tool tidak dapat diakses, terjadi bencana IT yang menghalangi akses normal, atau kondisi darurat yang disetujui CISO.</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Penggunaan break-glass account wajib mendapat dual approval: IT Manager + CISO (atau backup yang ditunjuk).</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Setiap penggunaan break-glass wajib dilaporkan kepada CISO dalam 1 jam dan didokumentasikan lengkap dalam 24 jam.</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Password break-glass diganti segera setelah digunakan dan dikembalikan ke kondisi tersegel.</w:t>
      </w:r>
    </w:p>
    <w:p>
      <w:pPr>
        <w:spacing w:after="120"/>
      </w:pPr>
      <w:r>
        <w:t xml:space="preserve"/>
      </w:r>
    </w:p>
    <w:p>
      <w:pPr>
        <w:pStyle w:val="Heading2"/>
        <w:spacing w:before="220" w:after="100"/>
      </w:pPr>
      <w:r>
        <w:rPr>
          <w:rFonts w:ascii="Arial" w:cs="Arial" w:eastAsia="Arial" w:hAnsi="Arial"/>
          <w:b/>
          <w:bCs/>
          <w:i w:val="false"/>
          <w:iCs w:val="false"/>
          <w:color w:val="2D7A4F"/>
          <w:sz w:val="26"/>
          <w:szCs w:val="26"/>
        </w:rPr>
        <w:t xml:space="preserve">4.4 Just-In-Time (JIT) Access</w:t>
      </w:r>
    </w:p>
    <w:p>
      <w:pPr>
        <w:spacing w:before="0" w:after="100"/>
        <w:jc w:val="left"/>
      </w:pPr>
      <w:r>
        <w:rPr>
          <w:rFonts w:ascii="Arial" w:cs="Arial" w:eastAsia="Arial" w:hAnsi="Arial"/>
          <w:b w:val="false"/>
          <w:bCs w:val="false"/>
          <w:i w:val="false"/>
          <w:iCs w:val="false"/>
          <w:color w:val="1A1A1A"/>
          <w:sz w:val="20"/>
          <w:szCs w:val="20"/>
        </w:rPr>
        <w:t xml:space="preserve">ELI menerapkan prinsip JIT Access untuk menggantikan standing privileges pada sistem kritikal:</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Akses Tier 0 WAJIB menggunakan JIT — tidak ada akses admin permanen yang selalu aktif.</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Akses Tier 1 direkomendasikan JIT; standing privileges hanya diizinkan dengan justifikasi kuat dan persetujuan CISO.</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Durasi JIT access ditentukan berdasarkan kebutuhan tugas, dengan batas maksimum: Tier 0 = 4 jam, Tier 1 = 8 jam.</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Setelah durasi JIT berakhir, akses dicabut otomatis oleh PAM tool tanpa intervensi manual.</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Perpanjangan JIT access memerlukan permintaan baru dan approval ulang.</w:t>
      </w:r>
    </w:p>
    <w:p>
      <w:pPr>
        <w:spacing w:after="120"/>
      </w:pPr>
      <w:r>
        <w:t xml:space="preserve"/>
      </w:r>
    </w:p>
    <w:p>
      <w:pPr>
        <w:pStyle w:val="Heading2"/>
        <w:spacing w:before="220" w:after="100"/>
      </w:pPr>
      <w:r>
        <w:rPr>
          <w:rFonts w:ascii="Arial" w:cs="Arial" w:eastAsia="Arial" w:hAnsi="Arial"/>
          <w:b/>
          <w:bCs/>
          <w:i w:val="false"/>
          <w:iCs w:val="false"/>
          <w:color w:val="2D7A4F"/>
          <w:sz w:val="26"/>
          <w:szCs w:val="26"/>
        </w:rPr>
        <w:t xml:space="preserve">4.5 Monitoring dan Audit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Seluruh aktivitas akun istimewa direkam dalam audit log immutable yang tidak dapat dimodifikasi oleh pengguna atau administrator biasa.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PAM tool dikonfigurasi untuk mengirimkan alert real-time kepada IT Security/SOC untuk aktivitas berikut: login di luar jam kerja, login dari lokasi/IP tidak dikenal, multiple failed login attempts, perubahan konfigurasi kritis, akses ke data nasabah dalam volume besar.</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SOC melakukan review atas aktivitas privileged setidaknya setiap minggu.</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IT Security melakukan analisis perilaku (User and Entity Behavior Analytics / UEBA) untuk mendeteksi anomali pada akun istimewa.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Audit log disimpan minimal 3 tahun dan dilindungi dari penghapusan serta perubahan (immutable log).</w:t>
      </w:r>
    </w:p>
    <w:p>
      <w:pPr>
        <w:spacing w:after="120"/>
      </w:pPr>
      <w:r>
        <w:t xml:space="preserve"/>
      </w:r>
    </w:p>
    <w:p>
      <w:pPr>
        <w:pStyle w:val="Heading2"/>
        <w:spacing w:before="220" w:after="100"/>
      </w:pPr>
      <w:r>
        <w:rPr>
          <w:rFonts w:ascii="Arial" w:cs="Arial" w:eastAsia="Arial" w:hAnsi="Arial"/>
          <w:b/>
          <w:bCs/>
          <w:i w:val="false"/>
          <w:iCs w:val="false"/>
          <w:color w:val="2D7A4F"/>
          <w:sz w:val="26"/>
          <w:szCs w:val="26"/>
        </w:rPr>
        <w:t xml:space="preserve">4.6 Review Berkala (Recertification)</w:t>
      </w:r>
    </w:p>
    <w:p>
      <w:pPr>
        <w:spacing w:before="0" w:after="100"/>
        <w:jc w:val="left"/>
      </w:pPr>
      <w:r>
        <w:rPr>
          <w:rFonts w:ascii="Arial" w:cs="Arial" w:eastAsia="Arial" w:hAnsi="Arial"/>
          <w:b w:val="false"/>
          <w:bCs w:val="false"/>
          <w:i w:val="false"/>
          <w:iCs w:val="false"/>
          <w:color w:val="1A1A1A"/>
          <w:sz w:val="20"/>
          <w:szCs w:val="20"/>
        </w:rPr>
        <w:t xml:space="preserve">Seluruh akun istimewa wajib melalui proses review berkala menggunakan Formulir Review Privileged Access (ELI-FORM-ITS-008):</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600"/>
        <w:gridCol w:w="4260"/>
      </w:tblGrid>
      <w:tr>
        <w:tc>
          <w:tcPr>
            <w:tcW w:type="dxa" w:w="7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Tier</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Frekuensi Review</w:t>
            </w:r>
          </w:p>
        </w:tc>
        <w:tc>
          <w:tcPr>
            <w:tcW w:type="dxa" w:w="2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Reviewer</w:t>
            </w:r>
          </w:p>
        </w:tc>
        <w:tc>
          <w:tcPr>
            <w:tcW w:type="dxa" w:w="42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Tindakan jika Tidak Lulus Review</w:t>
            </w:r>
          </w:p>
        </w:tc>
      </w:tr>
      <w:tr>
        <w:tc>
          <w:tcPr>
            <w:tcW w:type="dxa" w:w="7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0</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Setiap 1 bulan</w:t>
            </w:r>
          </w:p>
        </w:tc>
        <w:tc>
          <w:tcPr>
            <w:tcW w:type="dxa" w:w="2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CISO + IT Manager</w:t>
            </w:r>
          </w:p>
        </w:tc>
        <w:tc>
          <w:tcPr>
            <w:tcW w:type="dxa" w:w="4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Cabut akses segera; investigasi jika diperlukan</w:t>
            </w:r>
          </w:p>
        </w:tc>
      </w:tr>
      <w:tr>
        <w:tc>
          <w:tcPr>
            <w:tcW w:type="dxa" w:w="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1</w:t>
            </w:r>
          </w:p>
        </w:tc>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Setiap 3 bulan</w:t>
            </w:r>
          </w:p>
        </w:tc>
        <w:tc>
          <w:tcPr>
            <w:tcW w:type="dxa" w:w="2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Manager + IT Security</w:t>
            </w:r>
          </w:p>
        </w:tc>
        <w:tc>
          <w:tcPr>
            <w:tcW w:type="dxa" w:w="42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Cabut atau turunkan ke Tier lebih rendah</w:t>
            </w:r>
          </w:p>
        </w:tc>
      </w:tr>
      <w:tr>
        <w:tc>
          <w:tcPr>
            <w:tcW w:type="dxa" w:w="7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2</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Setiap 3 bulan</w:t>
            </w:r>
          </w:p>
        </w:tc>
        <w:tc>
          <w:tcPr>
            <w:tcW w:type="dxa" w:w="2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Manager</w:t>
            </w:r>
          </w:p>
        </w:tc>
        <w:tc>
          <w:tcPr>
            <w:tcW w:type="dxa" w:w="4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Cabut atau turunkan akses</w:t>
            </w:r>
          </w:p>
        </w:tc>
      </w:tr>
      <w:tr>
        <w:tc>
          <w:tcPr>
            <w:tcW w:type="dxa" w:w="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3 (Service Accounts)</w:t>
            </w:r>
          </w:p>
        </w:tc>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Setiap 6 bulan</w:t>
            </w:r>
          </w:p>
        </w:tc>
        <w:tc>
          <w:tcPr>
            <w:tcW w:type="dxa" w:w="2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Operations Lead</w:t>
            </w:r>
          </w:p>
        </w:tc>
        <w:tc>
          <w:tcPr>
            <w:tcW w:type="dxa" w:w="42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Nonaktifkan jika tidak diperlukan</w:t>
            </w:r>
          </w:p>
        </w:tc>
      </w:tr>
      <w:tr>
        <w:tc>
          <w:tcPr>
            <w:tcW w:type="dxa" w:w="7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4 (Break-Glass)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Setiap 6 bulan + setelah setiap penggunaan</w:t>
            </w:r>
          </w:p>
        </w:tc>
        <w:tc>
          <w:tcPr>
            <w:tcW w:type="dxa" w:w="2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CISO</w:t>
            </w:r>
          </w:p>
        </w:tc>
        <w:tc>
          <w:tcPr>
            <w:tcW w:type="dxa" w:w="4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Ganti password; review justifikasi keberadaan akun</w:t>
            </w:r>
          </w:p>
        </w:tc>
      </w:tr>
    </w:tbl>
    <w:p>
      <w:pPr>
        <w:spacing w:after="80"/>
      </w:pPr>
      <w:r>
        <w:t xml:space="preserve"/>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Manajer langsung karyawan wajib memberikan konfirmasi bahwa karyawan masih membutuhkan akses tersebut untuk jabatannya.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Akses yang tidak dikonfirmasi dalam 5 hari kerja sejak pengiriman formulir review DICABUT OTOMATIS.</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Perubahan jabatan, mutasi, atau penonaktifan karyawan memicu immediate review akses istimewa.</w:t>
      </w:r>
    </w:p>
    <w:p>
      <w:pPr>
        <w:spacing w:after="120"/>
      </w:pPr>
      <w:r>
        <w:t xml:space="preserve"/>
      </w:r>
    </w:p>
    <w:p>
      <w:pPr>
        <w:pStyle w:val="Heading2"/>
        <w:spacing w:before="220" w:after="100"/>
      </w:pPr>
      <w:r>
        <w:rPr>
          <w:rFonts w:ascii="Arial" w:cs="Arial" w:eastAsia="Arial" w:hAnsi="Arial"/>
          <w:b/>
          <w:bCs/>
          <w:i w:val="false"/>
          <w:iCs w:val="false"/>
          <w:color w:val="2D7A4F"/>
          <w:sz w:val="26"/>
          <w:szCs w:val="26"/>
        </w:rPr>
        <w:t xml:space="preserve">4.7 Manajemen Siklus Hidup Akun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2800"/>
      </w:tblGrid>
      <w:tr>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Peristiwa</w:t>
            </w:r>
          </w:p>
        </w:tc>
        <w:tc>
          <w:tcPr>
            <w:tcW w:type="dxa" w:w="31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Tindakan PAM Wajib</w:t>
            </w:r>
          </w:p>
        </w:tc>
        <w:tc>
          <w:tcPr>
            <w:tcW w:type="dxa" w:w="1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Tenggat</w:t>
            </w:r>
          </w:p>
        </w:tc>
        <w:tc>
          <w:tcPr>
            <w:tcW w:type="dxa" w:w="2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PIC</w:t>
            </w:r>
          </w:p>
        </w:tc>
      </w:tr>
      <w:tr>
        <w:tc>
          <w:tcPr>
            <w:tcW w:type="dxa" w:w="2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Karyawan baru / vendor baru</w:t>
            </w:r>
          </w:p>
        </w:tc>
        <w:tc>
          <w:tcPr>
            <w:tcW w:type="dxa" w:w="3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Onboarding: buat akun sesuai tier; training PAM wajib sebelum akses diberikan</w:t>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Hari pertama bekerja</w:t>
            </w:r>
          </w:p>
        </w:tc>
        <w:tc>
          <w:tcPr>
            <w:tcW w:type="dxa" w:w="2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Operations + IT Security</w:t>
            </w:r>
          </w:p>
        </w:tc>
      </w:tr>
      <w:tr>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Promosi / perubahan jabatan</w:t>
            </w:r>
          </w:p>
        </w:tc>
        <w:tc>
          <w:tcPr>
            <w:tcW w:type="dxa" w:w="3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Review akses lama; cabut yang tidak relevan; ajukan akses baru jika diperlukan</w:t>
            </w:r>
          </w:p>
        </w:tc>
        <w:tc>
          <w:tcPr>
            <w:tcW w:type="dxa" w:w="1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3 hari kerja</w:t>
            </w:r>
          </w:p>
        </w:tc>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Manager + IT Operations</w:t>
            </w:r>
          </w:p>
        </w:tc>
      </w:tr>
      <w:tr>
        <w:tc>
          <w:tcPr>
            <w:tcW w:type="dxa" w:w="2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Mutasi departemen</w:t>
            </w:r>
          </w:p>
        </w:tc>
        <w:tc>
          <w:tcPr>
            <w:tcW w:type="dxa" w:w="3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Immediate review; cabut akses sistem yang tidak relevan untuk departemen baru</w:t>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Hari pertama di departemen baru</w:t>
            </w:r>
          </w:p>
        </w:tc>
        <w:tc>
          <w:tcPr>
            <w:tcW w:type="dxa" w:w="2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Manager + IT Operations</w:t>
            </w:r>
          </w:p>
        </w:tc>
      </w:tr>
      <w:tr>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Cuti panjang (&gt; 14 hari)</w:t>
            </w:r>
          </w:p>
        </w:tc>
        <w:tc>
          <w:tcPr>
            <w:tcW w:type="dxa" w:w="3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Suspend akun istimewa selama cuti; reaktivasi saat kembali</w:t>
            </w:r>
          </w:p>
        </w:tc>
        <w:tc>
          <w:tcPr>
            <w:tcW w:type="dxa" w:w="1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Sebelum cuti dimulai</w:t>
            </w:r>
          </w:p>
        </w:tc>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Operations</w:t>
            </w:r>
          </w:p>
        </w:tc>
      </w:tr>
      <w:tr>
        <w:tc>
          <w:tcPr>
            <w:tcW w:type="dxa" w:w="2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Penonaktifan karyawan / offboarding</w:t>
            </w:r>
          </w:p>
        </w:tc>
        <w:tc>
          <w:tcPr>
            <w:tcW w:type="dxa" w:w="3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Cabut SEMUA akses istimewa; disable akun; ubah password sistem yang diketahui</w:t>
            </w:r>
          </w:p>
        </w:tc>
        <w:tc>
          <w:tcPr>
            <w:tcW w:type="dxa" w:w="1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Hari terakhir bekerja (atau segera jika diberhentikan mendadak)</w:t>
            </w:r>
          </w:p>
        </w:tc>
        <w:tc>
          <w:tcPr>
            <w:tcW w:type="dxa" w:w="2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Operations (diinisiasi HR)</w:t>
            </w:r>
          </w:p>
        </w:tc>
      </w:tr>
      <w:tr>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Akhir kontrak vendor</w:t>
            </w:r>
          </w:p>
        </w:tc>
        <w:tc>
          <w:tcPr>
            <w:tcW w:type="dxa" w:w="3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Cabut semua akses vendor; archive log; review apakah akun perlu dihapus</w:t>
            </w:r>
          </w:p>
        </w:tc>
        <w:tc>
          <w:tcPr>
            <w:tcW w:type="dxa" w:w="1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Hari akhir kontrak</w:t>
            </w:r>
          </w:p>
        </w:tc>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Manager + Procurement</w:t>
            </w:r>
          </w:p>
        </w:tc>
      </w:tr>
    </w:tbl>
    <w:p>
      <w:pPr>
        <w:spacing w:after="120"/>
      </w:pPr>
      <w:r>
        <w:t xml:space="preserve"/>
      </w:r>
    </w:p>
    <w:p>
      <w:pPr>
        <w:pStyle w:val="Heading2"/>
        <w:spacing w:before="220" w:after="100"/>
      </w:pPr>
      <w:r>
        <w:rPr>
          <w:rFonts w:ascii="Arial" w:cs="Arial" w:eastAsia="Arial" w:hAnsi="Arial"/>
          <w:b/>
          <w:bCs/>
          <w:i w:val="false"/>
          <w:iCs w:val="false"/>
          <w:color w:val="2D7A4F"/>
          <w:sz w:val="26"/>
          <w:szCs w:val="26"/>
        </w:rPr>
        <w:t xml:space="preserve">4.8 Segregasi Lingkungan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Akun istimewa production DILARANG digunakan di lingkungan development atau staging.</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Developer tidak diizinkan memiliki akses admin di lingkungan production.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DBA tidak diizinkan memiliki akses admin di tingkat sistem operasi server yang sama.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Akses ke lingkungan production wajib melalui PAM tool — akses langsung (SSH/RDP langsung) ke server production dilarang untuk semua user tanpa pengecualian.</w:t>
      </w:r>
    </w:p>
    <w:p>
      <w:pPr>
        <w:spacing w:after="120"/>
      </w:pPr>
      <w:r>
        <w:t xml:space="preserve"/>
      </w:r>
    </w:p>
    <w:p>
      <w:pPr>
        <w:pStyle w:val="Heading2"/>
        <w:spacing w:before="220" w:after="100"/>
      </w:pPr>
      <w:r>
        <w:rPr>
          <w:rFonts w:ascii="Arial" w:cs="Arial" w:eastAsia="Arial" w:hAnsi="Arial"/>
          <w:b/>
          <w:bCs/>
          <w:i w:val="false"/>
          <w:iCs w:val="false"/>
          <w:color w:val="2D7A4F"/>
          <w:sz w:val="26"/>
          <w:szCs w:val="26"/>
        </w:rPr>
        <w:t xml:space="preserve">4.9 Akses Istimewa oleh Vendor / Pihak Ketiga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Vendor yang membutuhkan akses istimewa ke sistem ELI wajib melalui proses yang sama dengan karyawan internal (ELI-FORM-ITS-007).</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Akses vendor selalu bersifat sementara dan JIT — tidak ada akses vendor permanent yang selalu aktif.</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Semua sesi vendor wajib diawasi (supervised session) atau direkam penuh melalui PAM tool.</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Vendor DILARANG menggunakan akun yang sama dengan karyawan ELI — setiap vendor mendapat akun unik terdedikasi.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NDA dan persetujuan keamanan (security acknowledgment) wajib ditandatangani sebelum akses diberikan.</w:t>
      </w:r>
    </w:p>
    <w:p>
      <w:pPr>
        <w:spacing w:after="120"/>
      </w:pPr>
      <w:r>
        <w:t xml:space="preserve"/>
      </w:r>
    </w:p>
    <w:p>
      <w:pPr>
        <w:pStyle w:val="Heading2"/>
        <w:spacing w:before="220" w:after="100"/>
      </w:pPr>
      <w:r>
        <w:rPr>
          <w:rFonts w:ascii="Arial" w:cs="Arial" w:eastAsia="Arial" w:hAnsi="Arial"/>
          <w:b/>
          <w:bCs/>
          <w:i w:val="false"/>
          <w:iCs w:val="false"/>
          <w:color w:val="2D7A4F"/>
          <w:sz w:val="26"/>
          <w:szCs w:val="26"/>
        </w:rPr>
        <w:t xml:space="preserve">4.10 Larangan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DECEA" w:val="clear"/>
            <w:tcMar>
              <w:top w:type="dxa" w:w="100"/>
              <w:left w:type="dxa" w:w="200"/>
              <w:bottom w:type="dxa" w:w="100"/>
              <w:right w:type="dxa" w:w="200"/>
            </w:tcMar>
          </w:tcPr>
          <w:p>
            <w:pPr>
              <w:spacing w:before="0" w:after="80"/>
              <w:jc w:val="left"/>
            </w:pPr>
            <w:r>
              <w:rPr>
                <w:rFonts w:ascii="Arial" w:cs="Arial" w:eastAsia="Arial" w:hAnsi="Arial"/>
                <w:b/>
                <w:bCs/>
                <w:i w:val="false"/>
                <w:iCs w:val="false"/>
                <w:color w:val="C0392B"/>
                <w:sz w:val="19"/>
                <w:szCs w:val="19"/>
              </w:rPr>
              <w:t xml:space="preserve">Berikut adalah larangan absolut dalam tata kelola akses istimewa ELI. Pelanggaran bersifat serius dan dapat berujung pada pemutusan hubungan kerja / kontrak.</w:t>
            </w:r>
          </w:p>
        </w:tc>
      </w:tr>
    </w:tbl>
    <w:p>
      <w:pPr>
        <w:spacing w:after="80"/>
      </w:pPr>
      <w:r>
        <w:t xml:space="preserve"/>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Dilarang menggunakan akun istimewa untuk pekerjaan sehari-hari non-administratif (browsing, email, dll.).</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Dilarang berbagi (sharing) akun istimewa antar pengguna dalam kondisi apa pun.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Dilarang menyimpan password akun istimewa di file teks, email, chat, atau media tidak terenkripsi.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Dilarang melakukan aktivitas administratif tanpa tujuan yang terdokumentasi dan diotorisasi.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Dilarang menonaktifkan atau memodifikasi audit log dan session recording.</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Dilarang menggunakan akun production untuk testing atau development.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Dilarang memberikan akses istimewa kepada pihak lain tanpa melalui proses formal ELI-FORM-ITS-007.</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Dilarang menggunakan tools hacking atau eksploitasi pada sistem ELI tanpa otorisasi tertulis CISO (penetration test resmi).</w:t>
      </w:r>
    </w:p>
    <w:p>
      <w:pPr>
        <w:spacing w:after="120"/>
      </w:pPr>
      <w:r>
        <w:t xml:space="preserve"/>
      </w:r>
    </w:p>
    <w:p>
      <w:pPr>
        <w:pStyle w:val="Heading2"/>
        <w:spacing w:before="220" w:after="100"/>
      </w:pPr>
      <w:r>
        <w:rPr>
          <w:rFonts w:ascii="Arial" w:cs="Arial" w:eastAsia="Arial" w:hAnsi="Arial"/>
          <w:b/>
          <w:bCs/>
          <w:i w:val="false"/>
          <w:iCs w:val="false"/>
          <w:color w:val="2D7A4F"/>
          <w:sz w:val="26"/>
          <w:szCs w:val="26"/>
        </w:rPr>
        <w:t xml:space="preserve">4.11 Sanksi</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160"/>
        <w:gridCol w:w="2800"/>
      </w:tblGrid>
      <w:tr>
        <w:tc>
          <w:tcPr>
            <w:tcW w:type="dxa" w:w="34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Jenis Pelanggaran</w:t>
            </w:r>
          </w:p>
        </w:tc>
        <w:tc>
          <w:tcPr>
            <w:tcW w:type="dxa" w:w="31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Sanksi</w:t>
            </w:r>
          </w:p>
        </w:tc>
        <w:tc>
          <w:tcPr>
            <w:tcW w:type="dxa" w:w="2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Dasar Kontrol</w:t>
            </w:r>
          </w:p>
        </w:tc>
      </w:tr>
      <w:tr>
        <w:tc>
          <w:tcPr>
            <w:tcW w:type="dxa" w:w="3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Sharing akun istimewa</w:t>
            </w:r>
          </w:p>
        </w:tc>
        <w:tc>
          <w:tcPr>
            <w:tcW w:type="dxa" w:w="3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Teguran tertulis; investigasi; pencabutan semua akses istimewa</w:t>
            </w:r>
          </w:p>
        </w:tc>
        <w:tc>
          <w:tcPr>
            <w:tcW w:type="dxa" w:w="2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A.5.16, A.5.17</w:t>
            </w:r>
          </w:p>
        </w:tc>
      </w:tr>
      <w:tr>
        <w:tc>
          <w:tcPr>
            <w:tcW w:type="dxa" w:w="3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Akses production tanpa otorisasi / tiket</w:t>
            </w:r>
          </w:p>
        </w:tc>
        <w:tc>
          <w:tcPr>
            <w:tcW w:type="dxa" w:w="3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Teguran tertulis SP-1; eskalasi ke manajemen</w:t>
            </w:r>
          </w:p>
        </w:tc>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A.5.15, A.8.2</w:t>
            </w:r>
          </w:p>
        </w:tc>
      </w:tr>
      <w:tr>
        <w:tc>
          <w:tcPr>
            <w:tcW w:type="dxa" w:w="3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Menonaktifkan MFA tanpa izin</w:t>
            </w:r>
          </w:p>
        </w:tc>
        <w:tc>
          <w:tcPr>
            <w:tcW w:type="dxa" w:w="3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SP-1; pencabutan akses; pelatihan wajib</w:t>
            </w:r>
          </w:p>
        </w:tc>
        <w:tc>
          <w:tcPr>
            <w:tcW w:type="dxa" w:w="2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A.5.17, A.8.18</w:t>
            </w:r>
          </w:p>
        </w:tc>
      </w:tr>
      <w:tr>
        <w:tc>
          <w:tcPr>
            <w:tcW w:type="dxa" w:w="3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Menyimpan password di luar PAM vault</w:t>
            </w:r>
          </w:p>
        </w:tc>
        <w:tc>
          <w:tcPr>
            <w:tcW w:type="dxa" w:w="3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Teguran tertulis; forced password reset semua akun</w:t>
            </w:r>
          </w:p>
        </w:tc>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A.5.17</w:t>
            </w:r>
          </w:p>
        </w:tc>
      </w:tr>
      <w:tr>
        <w:tc>
          <w:tcPr>
            <w:tcW w:type="dxa" w:w="3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Penggunaan break-glass tanpa otorisasi dual approval</w:t>
            </w:r>
          </w:p>
        </w:tc>
        <w:tc>
          <w:tcPr>
            <w:tcW w:type="dxa" w:w="3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SP-2; investigasi insiden; eskalasi ke Direksi</w:t>
            </w:r>
          </w:p>
        </w:tc>
        <w:tc>
          <w:tcPr>
            <w:tcW w:type="dxa" w:w="2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A.8.18</w:t>
            </w:r>
          </w:p>
        </w:tc>
      </w:tr>
      <w:tr>
        <w:tc>
          <w:tcPr>
            <w:tcW w:type="dxa" w:w="3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Menghapus / memodifikasi audit log</w:t>
            </w:r>
          </w:p>
        </w:tc>
        <w:tc>
          <w:tcPr>
            <w:tcW w:type="dxa" w:w="3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SP-2 hingga PHK; tindakan hukum pidana</w:t>
            </w:r>
          </w:p>
        </w:tc>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A.8.15, A.8.18</w:t>
            </w:r>
          </w:p>
        </w:tc>
      </w:tr>
      <w:tr>
        <w:tc>
          <w:tcPr>
            <w:tcW w:type="dxa" w:w="3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Memberikan akses istimewa tanpa proses formal</w:t>
            </w:r>
          </w:p>
        </w:tc>
        <w:tc>
          <w:tcPr>
            <w:tcW w:type="dxa" w:w="3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SP-1; cabut akses yang diberikan; investigasi</w:t>
            </w:r>
          </w:p>
        </w:tc>
        <w:tc>
          <w:tcPr>
            <w:tcW w:type="dxa" w:w="2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A.5.15, A.5.18</w:t>
            </w:r>
          </w:p>
        </w:tc>
      </w:tr>
      <w:tr>
        <w:tc>
          <w:tcPr>
            <w:tcW w:type="dxa" w:w="3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Penyalahgunaan akses istimewa untuk exfiltration data</w:t>
            </w:r>
          </w:p>
        </w:tc>
        <w:tc>
          <w:tcPr>
            <w:tcW w:type="dxa" w:w="3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PHK; tindakan hukum; laporan ke regulator</w:t>
            </w:r>
          </w:p>
        </w:tc>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A.5.15, UU PDP</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5. PERAN DAN TANGGUNG JAWAB</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Peran</w:t>
            </w:r>
          </w:p>
        </w:tc>
        <w:tc>
          <w:tcPr>
            <w:tcW w:type="dxa" w:w="65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Tanggung Jawab</w:t>
            </w:r>
          </w:p>
        </w:tc>
      </w:tr>
      <w:tr>
        <w:tc>
          <w:tcPr>
            <w:tcW w:type="dxa" w:w="2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CISO</w:t>
            </w:r>
          </w:p>
        </w:tc>
        <w:tc>
          <w:tcPr>
            <w:tcW w:type="dxa" w:w="6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Pemilik kebijakan PAM; approver akses Tier 0; memimpin audit PAM; menentukan kebijakan JIT dan break-glass; meninjau kebijakan setiap 6 bulan.</w:t>
            </w:r>
          </w:p>
        </w:tc>
      </w:tr>
      <w:tr>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IT Manager</w:t>
            </w:r>
          </w:p>
        </w:tc>
        <w:tc>
          <w:tcPr>
            <w:tcW w:type="dxa" w:w="6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Approver akses Tier 1–2; mengkoordinasikan review berkala; memastikan offboarding dilaksanakan tepat waktu; melaporkan status PAM ke CISO.</w:t>
            </w:r>
          </w:p>
        </w:tc>
      </w:tr>
      <w:tr>
        <w:tc>
          <w:tcPr>
            <w:tcW w:type="dxa" w:w="2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IT Security Team</w:t>
            </w:r>
          </w:p>
        </w:tc>
        <w:tc>
          <w:tcPr>
            <w:tcW w:type="dxa" w:w="6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Mengelola PAM tool; memantau alert dan aktivitas anomali; menjalankan audit log review mingguan; mengelola session recording.</w:t>
            </w:r>
          </w:p>
        </w:tc>
      </w:tr>
      <w:tr>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IT Operations</w:t>
            </w:r>
          </w:p>
        </w:tc>
        <w:tc>
          <w:tcPr>
            <w:tcW w:type="dxa" w:w="6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Membuat / menonaktifkan akun sesuai permohonan yang disetujui; mengelola inventaris akun; menjalankan rotasi password service account.</w:t>
            </w:r>
          </w:p>
        </w:tc>
      </w:tr>
      <w:tr>
        <w:tc>
          <w:tcPr>
            <w:tcW w:type="dxa" w:w="2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PAM Administrator</w:t>
            </w:r>
          </w:p>
        </w:tc>
        <w:tc>
          <w:tcPr>
            <w:tcW w:type="dxa" w:w="6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Mengelola konfigurasi PAM tool; memastikan vault, JIT, dan session recording berfungsi; melakukan patching dan pemeliharaan PAM tool.</w:t>
            </w:r>
          </w:p>
        </w:tc>
      </w:tr>
      <w:tr>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Manajer Langsung</w:t>
            </w:r>
          </w:p>
        </w:tc>
        <w:tc>
          <w:tcPr>
            <w:tcW w:type="dxa" w:w="6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Menginisiasi permohonan akses untuk bawahan; menyetujui kebutuhan akses; menginformasikan HR &amp; IT atas perubahan jabatan atau offboarding segera.</w:t>
            </w:r>
          </w:p>
        </w:tc>
      </w:tr>
      <w:tr>
        <w:tc>
          <w:tcPr>
            <w:tcW w:type="dxa" w:w="2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Karyawan / Pengguna Istimewa</w:t>
            </w:r>
          </w:p>
        </w:tc>
        <w:tc>
          <w:tcPr>
            <w:tcW w:type="dxa" w:w="6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Menggunakan akun istimewa hanya untuk keperluan pekerjaan yang sah; melapor segera jika akun dicurigai dikompromisasi; mematuhi semua ketentuan kebijakan ini.</w:t>
            </w:r>
          </w:p>
        </w:tc>
      </w:tr>
      <w:tr>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HR / SDM</w:t>
            </w:r>
          </w:p>
        </w:tc>
        <w:tc>
          <w:tcPr>
            <w:tcW w:type="dxa" w:w="6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Menginformasikan IT Security atas penunjukan, mutasi, cuti panjang, dan penonaktifan karyawan sesuai jadwal yang disepakati.</w:t>
            </w:r>
          </w:p>
        </w:tc>
      </w:tr>
      <w:tr>
        <w:tc>
          <w:tcPr>
            <w:tcW w:type="dxa" w:w="2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Internal Audit</w:t>
            </w:r>
          </w:p>
        </w:tc>
        <w:tc>
          <w:tcPr>
            <w:tcW w:type="dxa" w:w="6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Melakukan audit independen atas kepatuhan kebijakan PAM minimal 1 kali per tahun; melaporkan temuan kepada Direksi.</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6. DOKUMENTASI DAN AUDIT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Seluruh permohonan, persetujuan, dan pencabutan akses istimewa didokumentasikan dalam PAM tool dan/atau sistem tiket ITSM.</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Formulir ELI-FORM-ITS-007 (Penunjukan) dan ELI-FORM-ITS-008 (Review) diarsipkan minimal 3 tahun.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Audit log akses istimewa disimpan minimal 3 tahun dalam format immutable yang tidak dapat dimodifikasi.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Rekaman sesi (session recording) disimpan minimal 1 tahun.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Laporan review berkala (recertification report) disampaikan kepada CISO dan Internal Audit setiap periode review.</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Laporan triwulanan tentang status kepatuhan PAM disampaikan kepada Steering Committee IT.</w:t>
      </w:r>
    </w:p>
    <w:p>
      <w:pPr>
        <w:spacing w:after="120"/>
      </w:pPr>
      <w:r>
        <w:t xml:space="preserve"/>
      </w:r>
    </w:p>
    <w:p>
      <w:pPr>
        <w:pStyle w:val="Heading1"/>
        <w:pageBreakBefore/>
      </w:pPr>
      <w:r>
        <w:rPr>
          <w:rFonts w:ascii="Arial" w:cs="Arial" w:eastAsia="Arial" w:hAnsi="Arial"/>
          <w:b/>
          <w:bCs/>
          <w:i w:val="false"/>
          <w:iCs w:val="false"/>
          <w:color w:val="1B4D35"/>
          <w:sz w:val="36"/>
          <w:szCs w:val="36"/>
        </w:rPr>
        <w:t xml:space="preserve">7. TINJAUAN DAN PEMBARUAN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Kebijakan ini ditinjau setiap 6 bulan atau setelah: insiden keamanan terkait akun istimewa, perubahan infrastruktur signifikan, perubahan regulasi OJK/BSSN, atau rekomendasi audit ISO 27001.</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Pembaruan kebijakan dikomunikasikan kepada seluruh pemegang akses istimewa dalam 5 hari kerja.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Training ulang PAM wajib dilakukan setelah setiap pembaruan kebijakan yang signifikan.</w:t>
      </w:r>
    </w:p>
    <w:p>
      <w:pPr>
        <w:spacing w:after="120"/>
      </w:pPr>
      <w:r>
        <w:t xml:space="preserve"/>
      </w:r>
    </w:p>
    <w:p>
      <w:pPr>
        <w:pStyle w:val="Heading1"/>
        <w:pageBreakBefore/>
      </w:pPr>
      <w:r>
        <w:rPr>
          <w:rFonts w:ascii="Arial" w:cs="Arial" w:eastAsia="Arial" w:hAnsi="Arial"/>
          <w:b/>
          <w:bCs/>
          <w:i w:val="false"/>
          <w:iCs w:val="false"/>
          <w:color w:val="1B4D35"/>
          <w:sz w:val="36"/>
          <w:szCs w:val="36"/>
        </w:rPr>
        <w:t xml:space="preserve">8. PERSETUJUAN DAN PENGESAHAN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Jabatan</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Nama</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Tanda Tangan</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Tanggal</w:t>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Penyusun — IT Security Team</w:t>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Reviewer — IT Manager</w:t>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Reviewer — Internal Audit</w:t>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Pengesah — CISO</w:t>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Pengesah — Direktur Utama</w:t>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9. LAMPIRAN</w:t>
      </w:r>
    </w:p>
    <w:p>
      <w:pPr>
        <w:pStyle w:val="Heading2"/>
        <w:spacing w:before="220" w:after="100"/>
      </w:pPr>
      <w:r>
        <w:rPr>
          <w:rFonts w:ascii="Arial" w:cs="Arial" w:eastAsia="Arial" w:hAnsi="Arial"/>
          <w:b/>
          <w:bCs/>
          <w:i w:val="false"/>
          <w:iCs w:val="false"/>
          <w:color w:val="2D7A4F"/>
          <w:sz w:val="26"/>
          <w:szCs w:val="26"/>
        </w:rPr>
        <w:t xml:space="preserve">Lampiran A — Dokumen Terkait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Kode</w:t>
            </w:r>
          </w:p>
        </w:tc>
        <w:tc>
          <w:tcPr>
            <w:tcW w:type="dxa" w:w="4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Judul</w:t>
            </w:r>
          </w:p>
        </w:tc>
        <w:tc>
          <w:tcPr>
            <w:tcW w:type="dxa" w:w="29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Keterangan</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ELI-SOP-ITS-006</w:t>
            </w:r>
          </w:p>
        </w:tc>
        <w:tc>
          <w:tcPr>
            <w:tcW w:type="dxa" w:w="4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SOP Privileged Access Management</w:t>
            </w:r>
          </w:p>
        </w:tc>
        <w:tc>
          <w:tcPr>
            <w:tcW w:type="dxa" w:w="2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Prosedur teknis pelaksanaan kebijakan ini</w:t>
            </w:r>
          </w:p>
        </w:tc>
      </w:tr>
      <w:tr>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ELI-FORM-ITS-007</w:t>
            </w:r>
          </w:p>
        </w:tc>
        <w:tc>
          <w:tcPr>
            <w:tcW w:type="dxa" w:w="4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Formulir Penunjukan Privileged User</w:t>
            </w:r>
          </w:p>
        </w:tc>
        <w:tc>
          <w:tcPr>
            <w:tcW w:type="dxa" w:w="29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Pengajuan dan persetujuan akses istimewa</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ELI-FORM-ITS-008</w:t>
            </w:r>
          </w:p>
        </w:tc>
        <w:tc>
          <w:tcPr>
            <w:tcW w:type="dxa" w:w="4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Formulir Review Privileged Access</w:t>
            </w:r>
          </w:p>
        </w:tc>
        <w:tc>
          <w:tcPr>
            <w:tcW w:type="dxa" w:w="2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Review berkala / recertification akses istimewa</w:t>
            </w:r>
          </w:p>
        </w:tc>
      </w:tr>
      <w:tr>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ELI-POL-ITS-001</w:t>
            </w:r>
          </w:p>
        </w:tc>
        <w:tc>
          <w:tcPr>
            <w:tcW w:type="dxa" w:w="4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Keamanan Informasi</w:t>
            </w:r>
          </w:p>
        </w:tc>
        <w:tc>
          <w:tcPr>
            <w:tcW w:type="dxa" w:w="29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induk ISMS ELI</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ELI-POL-ITS-004</w:t>
            </w:r>
          </w:p>
        </w:tc>
        <w:tc>
          <w:tcPr>
            <w:tcW w:type="dxa" w:w="4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Communication Plan</w:t>
            </w:r>
          </w:p>
        </w:tc>
        <w:tc>
          <w:tcPr>
            <w:tcW w:type="dxa" w:w="2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Komunikasi insiden terkait akses istimewa</w:t>
            </w:r>
          </w:p>
        </w:tc>
      </w:tr>
      <w:tr>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ELI-POL-ITS-005</w:t>
            </w:r>
          </w:p>
        </w:tc>
        <w:tc>
          <w:tcPr>
            <w:tcW w:type="dxa" w:w="4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Perpindahan Informasi</w:t>
            </w:r>
          </w:p>
        </w:tc>
        <w:tc>
          <w:tcPr>
            <w:tcW w:type="dxa" w:w="29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Transfer data oleh pengguna istimewa</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ELI-FORM-ITS-004</w:t>
            </w:r>
          </w:p>
        </w:tc>
        <w:tc>
          <w:tcPr>
            <w:tcW w:type="dxa" w:w="4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Formulir Teguran Pelanggaran</w:t>
            </w:r>
          </w:p>
        </w:tc>
        <w:tc>
          <w:tcPr>
            <w:tcW w:type="dxa" w:w="2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Penanganan pelanggaran PAM</w:t>
            </w:r>
          </w:p>
        </w:tc>
      </w:tr>
    </w:tbl>
    <w:p>
      <w:pPr>
        <w:spacing w:after="120"/>
      </w:pPr>
      <w:r>
        <w:t xml:space="preserve"/>
      </w:r>
    </w:p>
    <w:sectPr>
      <w:headerReference w:type="default" r:id="rId6"/>
      <w:footerReference w:type="default" r:id="rId7"/>
      <w:pgSz w:w="12240" w:h="15840" w:orient="portrait"/>
      <w:pgMar w:top="1080" w:right="90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7D" w:sz="6" w:space="1"/>
      </w:pBdr>
      <w:spacing w:before="80"/>
      <w:jc w:val="right"/>
    </w:pPr>
    <w:r>
      <w:rPr>
        <w:rFonts w:ascii="Arial" w:cs="Arial" w:eastAsia="Arial" w:hAnsi="Arial"/>
        <w:b w:val="false"/>
        <w:bCs w:val="false"/>
        <w:i w:val="false"/>
        <w:iCs w:val="false"/>
        <w:color w:val="555555"/>
        <w:sz w:val="16"/>
        <w:szCs w:val="16"/>
      </w:rPr>
      <w:t xml:space="preserve">PT Equity Life Indonesia  |  Halaman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55555"/>
        <w:sz w:val="16"/>
        <w:szCs w:val="16"/>
      </w:rPr>
      <w:t xml:space="preserve"> dari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A4F" w:sz="6" w:space="1"/>
      </w:pBdr>
      <w:spacing w:after="80"/>
    </w:pPr>
    <w:r>
      <w:rPr>
        <w:rFonts w:ascii="Arial" w:cs="Arial" w:eastAsia="Arial" w:hAnsi="Arial"/>
        <w:b/>
        <w:bCs/>
        <w:i w:val="false"/>
        <w:iCs w:val="false"/>
        <w:color w:val="2D7A4F"/>
        <w:sz w:val="18"/>
        <w:szCs w:val="18"/>
      </w:rPr>
      <w:t xml:space="preserve">ELI-POL-ITS-006  |  Kebijakan Privileged Access Management (PAM)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D35"/>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2D7A4F"/>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D7A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2026-03-14T13:18:56.702Z</dcterms:created>
  <dcterms:modified xsi:type="dcterms:W3CDTF">2026-03-14T13:18:56.703Z</dcterms:modified>
</cp:coreProperties>
</file>

<file path=docProps/custom.xml><?xml version="1.0" encoding="utf-8"?>
<Properties xmlns="http://schemas.openxmlformats.org/officeDocument/2006/custom-properties" xmlns:vt="http://schemas.openxmlformats.org/officeDocument/2006/docPropsVTypes"/>
</file>