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864"/>
          <w:sz w:val="52"/>
          <w:szCs w:val="52"/>
        </w:rPr>
        <w:t xml:space="preserve">LAPORAN AUDIT REVIEW</w:t>
      </w:r>
    </w:p>
    <w:p>
      <w:pPr>
        <w:spacing w:after="60"/>
        <w:jc w:val="center"/>
      </w:pPr>
      <w:r>
        <w:rPr>
          <w:rFonts w:ascii="Arial" w:cs="Arial" w:eastAsia="Arial" w:hAnsi="Arial"/>
          <w:color w:val="2E75B6"/>
          <w:sz w:val="28"/>
          <w:szCs w:val="28"/>
        </w:rPr>
        <w:t xml:space="preserve">Surat Keputusan Penunjukan Petugas Perlindungan Data Pribadi</w:t>
      </w:r>
    </w:p>
    <w:p>
      <w:pPr>
        <w:spacing w:after="60"/>
        <w:jc w:val="center"/>
      </w:pPr>
      <w:r>
        <w:rPr>
          <w:rFonts w:ascii="Arial" w:cs="Arial" w:eastAsia="Arial" w:hAnsi="Arial"/>
          <w:i/>
          <w:iCs/>
          <w:color w:val="2E75B6"/>
          <w:sz w:val="28"/>
          <w:szCs w:val="28"/>
        </w:rPr>
        <w:t xml:space="preserve">(Data Protection Officer)</w:t>
      </w:r>
    </w:p>
    <w:p>
      <w:pPr>
        <w:spacing w:after="400"/>
        <w:jc w:val="center"/>
      </w:pPr>
      <w:r>
        <w:rPr>
          <w:rFonts w:ascii="Arial" w:cs="Arial" w:eastAsia="Arial" w:hAnsi="Arial"/>
          <w:b/>
          <w:bCs/>
          <w:color w:val="1F3864"/>
          <w:sz w:val="28"/>
          <w:szCs w:val="28"/>
        </w:rPr>
        <w:t xml:space="preserve">PT Equity Life Indonesia</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Nomor SK</w:t>
            </w:r>
          </w:p>
        </w:tc>
        <w:tc>
          <w:tcPr>
            <w:tcW w:type="dxa" w:w="4800"/>
            <w:tcBorders>
              <w:top w:val="single" w:color="D9D9D9" w:sz="4"/>
              <w:left w:val="single" w:color="D9D9D9" w:sz="4"/>
              <w:bottom w:val="single" w:color="D9D9D9" w:sz="4"/>
              <w:right w:val="single" w:color="D9D9D9" w:sz="4"/>
            </w:tcBorders>
            <w:shd w:fill="DDEE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No. XXX/HCD-SK/III/2026</w:t>
            </w:r>
          </w:p>
        </w:tc>
      </w:tr>
      <w:tr>
        <w:tc>
          <w:tcPr>
            <w:tcW w:type="dxa" w:w="2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Tanggal SK</w:t>
            </w:r>
          </w:p>
        </w:tc>
        <w:tc>
          <w:tcPr>
            <w:tcW w:type="dxa" w:w="4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16 Maret 2026</w:t>
            </w:r>
          </w:p>
        </w:tc>
      </w:tr>
      <w:tr>
        <w:tc>
          <w:tcPr>
            <w:tcW w:type="dxa" w:w="2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Penerbit</w:t>
            </w:r>
          </w:p>
        </w:tc>
        <w:tc>
          <w:tcPr>
            <w:tcW w:type="dxa" w:w="4800"/>
            <w:tcBorders>
              <w:top w:val="single" w:color="D9D9D9" w:sz="4"/>
              <w:left w:val="single" w:color="D9D9D9" w:sz="4"/>
              <w:bottom w:val="single" w:color="D9D9D9" w:sz="4"/>
              <w:right w:val="single" w:color="D9D9D9" w:sz="4"/>
            </w:tcBorders>
            <w:shd w:fill="DDEE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PT Equity Life Indonesia</w:t>
            </w:r>
          </w:p>
        </w:tc>
      </w:tr>
      <w:tr>
        <w:tc>
          <w:tcPr>
            <w:tcW w:type="dxa" w:w="2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Tanggal Review</w:t>
            </w:r>
          </w:p>
        </w:tc>
        <w:tc>
          <w:tcPr>
            <w:tcW w:type="dxa" w:w="4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25 Maret 2026</w:t>
            </w:r>
          </w:p>
        </w:tc>
      </w:tr>
      <w:tr>
        <w:tc>
          <w:tcPr>
            <w:tcW w:type="dxa" w:w="2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Dasar Hukum</w:t>
            </w:r>
          </w:p>
        </w:tc>
        <w:tc>
          <w:tcPr>
            <w:tcW w:type="dxa" w:w="4800"/>
            <w:tcBorders>
              <w:top w:val="single" w:color="D9D9D9" w:sz="4"/>
              <w:left w:val="single" w:color="D9D9D9" w:sz="4"/>
              <w:bottom w:val="single" w:color="D9D9D9" w:sz="4"/>
              <w:right w:val="single" w:color="D9D9D9" w:sz="4"/>
            </w:tcBorders>
            <w:shd w:fill="DDEE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UU No. 27 Tahun 2022 tentang Pelindungan Data Pribadi</w:t>
            </w:r>
          </w:p>
        </w:tc>
      </w:tr>
      <w:tr>
        <w:tc>
          <w:tcPr>
            <w:tcW w:type="dxa" w:w="2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Klasifikasi</w:t>
            </w:r>
          </w:p>
        </w:tc>
        <w:tc>
          <w:tcPr>
            <w:tcW w:type="dxa" w:w="48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2"/>
                <w:szCs w:val="22"/>
              </w:rPr>
              <w:t xml:space="preserve">Rahasia &amp; Terbatas</w:t>
            </w:r>
          </w:p>
        </w:tc>
      </w:tr>
    </w:tbl>
    <w:p>
      <w:pPr>
        <w:spacing w:after="80" w:before="320"/>
        <w:jc w:val="center"/>
      </w:pPr>
      <w:r>
        <w:rPr>
          <w:rFonts w:ascii="Arial" w:cs="Arial" w:eastAsia="Arial" w:hAnsi="Arial"/>
          <w:b/>
          <w:bCs/>
          <w:color w:val="C00000"/>
          <w:sz w:val="20"/>
          <w:szCs w:val="20"/>
        </w:rPr>
        <w:t xml:space="preserve">⚠  DOKUMEN AUDIT INDEPENDEN  ⚠</w:t>
      </w:r>
    </w:p>
    <w:p>
      <w:pPr>
        <w:spacing w:after="480"/>
        <w:jc w:val="center"/>
      </w:pPr>
      <w:r>
        <w:rPr>
          <w:rFonts w:ascii="Arial" w:cs="Arial" w:eastAsia="Arial" w:hAnsi="Arial"/>
          <w:i/>
          <w:iCs/>
          <w:color w:val="666666"/>
          <w:sz w:val="20"/>
          <w:szCs w:val="20"/>
        </w:rPr>
        <w:t xml:space="preserve">Dokumen ini berisi temuan audit dan rekomendasi perbaikan yang bersifat rahasia.</w:t>
      </w:r>
    </w:p>
    <w:p>
      <w:r>
        <w:br w:type="page"/>
      </w:r>
    </w:p>
    <w:p>
      <w:pPr>
        <w:pStyle w:val="Heading1"/>
      </w:pPr>
      <w:r>
        <w:t xml:space="preserve">1. RINGKASAN EKSEKUTIF</w:t>
      </w:r>
    </w:p>
    <w:p>
      <w:pPr>
        <w:spacing w:after="120" w:before="160"/>
      </w:pPr>
      <w:r>
        <w:rPr>
          <w:rFonts w:ascii="Arial" w:cs="Arial" w:eastAsia="Arial" w:hAnsi="Arial"/>
          <w:b/>
          <w:bCs/>
          <w:color w:val="1F3864"/>
          <w:sz w:val="22"/>
          <w:szCs w:val="22"/>
        </w:rPr>
        <w:t xml:space="preserve">Tujuan Audit: </w:t>
      </w:r>
      <w:r>
        <w:rPr>
          <w:rFonts w:ascii="Arial" w:cs="Arial" w:eastAsia="Arial" w:hAnsi="Arial"/>
          <w:sz w:val="22"/>
          <w:szCs w:val="22"/>
        </w:rPr>
        <w:t xml:space="preserve">Melakukan penilaian kesesuaian Surat Keputusan Penunjukan Petugas Perlindungan Data Pribadi (DPO) PT Equity Life Indonesia terhadap persyaratan dan ketentuan Undang-Undang Nomor 27 Tahun 2022 tentang Pelindungan Data Pribadi (UU PDP) yang telah berlaku efektif sejak 17 Oktober 2024.</w:t>
      </w:r>
    </w:p>
    <w:p>
      <w:pPr>
        <w:spacing w:after="80" w:before="160"/>
      </w:pPr>
      <w:r>
        <w:rPr>
          <w:rFonts w:ascii="Arial" w:cs="Arial" w:eastAsia="Arial" w:hAnsi="Arial"/>
          <w:b/>
          <w:bCs/>
          <w:color w:val="1F3864"/>
          <w:sz w:val="22"/>
          <w:szCs w:val="22"/>
        </w:rPr>
        <w:t xml:space="preserve">Ringkasan Nilai Kepatuhan: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1400"/>
        <w:gridCol w:w="1400"/>
        <w:gridCol w:w="1400"/>
        <w:gridCol w:w="2520"/>
      </w:tblGrid>
      <w:tr>
        <w:tc>
          <w:tcPr>
            <w:tcW w:type="dxa" w:w="33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Aspek Penilaian</w:t>
            </w:r>
          </w:p>
        </w:tc>
        <w:tc>
          <w:tcPr>
            <w:tcW w:type="dxa" w:w="1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22"/>
                <w:szCs w:val="22"/>
              </w:rPr>
              <w:t xml:space="preserve">Sesuai</w:t>
            </w:r>
          </w:p>
        </w:tc>
        <w:tc>
          <w:tcPr>
            <w:tcW w:type="dxa" w:w="1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22"/>
                <w:szCs w:val="22"/>
              </w:rPr>
              <w:t xml:space="preserve">Sebagian</w:t>
            </w:r>
          </w:p>
        </w:tc>
        <w:tc>
          <w:tcPr>
            <w:tcW w:type="dxa" w:w="1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22"/>
                <w:szCs w:val="22"/>
              </w:rPr>
              <w:t xml:space="preserve">Tidak Sesuai</w:t>
            </w:r>
          </w:p>
        </w:tc>
        <w:tc>
          <w:tcPr>
            <w:tcW w:type="dxa" w:w="252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Catatan Singkat</w:t>
            </w:r>
          </w:p>
        </w:tc>
      </w:tr>
      <w:tr>
        <w:tc>
          <w:tcPr>
            <w:tcW w:type="dxa" w:w="3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Dasar Penunjukan (Pasal 53)</w:t>
            </w:r>
          </w:p>
        </w:tc>
        <w:tc>
          <w:tcPr>
            <w:tcW w:type="dxa" w:w="14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375623"/>
                <w:sz w:val="22"/>
                <w:szCs w:val="22"/>
              </w:rPr>
              <w:t xml:space="preserve">✔</w:t>
            </w:r>
          </w:p>
        </w:tc>
        <w:tc>
          <w:tcPr>
            <w:tcW w:type="dxa" w:w="1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
            </w:r>
          </w:p>
        </w:tc>
        <w:tc>
          <w:tcPr>
            <w:tcW w:type="dxa" w:w="1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
            </w:r>
          </w:p>
        </w:tc>
        <w:tc>
          <w:tcPr>
            <w:tcW w:type="dxa" w:w="25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SK menyebutkan UU PDP sebagai dasar</w:t>
            </w:r>
          </w:p>
        </w:tc>
      </w:tr>
      <w:tr>
        <w:tc>
          <w:tcPr>
            <w:tcW w:type="dxa" w:w="3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Kualifikasi Petugas (Pasal 54 ayat 1)</w:t>
            </w:r>
          </w:p>
        </w:tc>
        <w:tc>
          <w:tcPr>
            <w:tcW w:type="dxa" w:w="1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
            </w:r>
          </w:p>
        </w:tc>
        <w:tc>
          <w:tcPr>
            <w:tcW w:type="dxa" w:w="14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pPr>
              <w:jc w:val="center"/>
            </w:pPr>
            <w:r>
              <w:rPr>
                <w:rFonts w:ascii="Arial" w:cs="Arial" w:eastAsia="Arial" w:hAnsi="Arial"/>
                <w:b/>
                <w:bCs/>
                <w:i w:val="false"/>
                <w:iCs w:val="false"/>
                <w:color w:val="7A7A00"/>
                <w:sz w:val="22"/>
                <w:szCs w:val="22"/>
              </w:rPr>
              <w:t xml:space="preserve">●</w:t>
            </w:r>
          </w:p>
        </w:tc>
        <w:tc>
          <w:tcPr>
            <w:tcW w:type="dxa" w:w="1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
            </w:r>
          </w:p>
        </w:tc>
        <w:tc>
          <w:tcPr>
            <w:tcW w:type="dxa" w:w="25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Tidak ada verifikasi kualifikasi tertulis</w:t>
            </w:r>
          </w:p>
        </w:tc>
      </w:tr>
      <w:tr>
        <w:tc>
          <w:tcPr>
            <w:tcW w:type="dxa" w:w="3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Tugas &amp; Fungsi (Pasal 54 ayat 2)</w:t>
            </w:r>
          </w:p>
        </w:tc>
        <w:tc>
          <w:tcPr>
            <w:tcW w:type="dxa" w:w="14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375623"/>
                <w:sz w:val="22"/>
                <w:szCs w:val="22"/>
              </w:rPr>
              <w:t xml:space="preserve">✔</w:t>
            </w:r>
          </w:p>
        </w:tc>
        <w:tc>
          <w:tcPr>
            <w:tcW w:type="dxa" w:w="1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
            </w:r>
          </w:p>
        </w:tc>
        <w:tc>
          <w:tcPr>
            <w:tcW w:type="dxa" w:w="1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
            </w:r>
          </w:p>
        </w:tc>
        <w:tc>
          <w:tcPr>
            <w:tcW w:type="dxa" w:w="25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Tugas tercantum, meski ada yang kurang lengkap</w:t>
            </w:r>
          </w:p>
        </w:tc>
      </w:tr>
      <w:tr>
        <w:tc>
          <w:tcPr>
            <w:tcW w:type="dxa" w:w="3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Independensi &amp; Konflik Kepentingan</w:t>
            </w:r>
          </w:p>
        </w:tc>
        <w:tc>
          <w:tcPr>
            <w:tcW w:type="dxa" w:w="1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
            </w:r>
          </w:p>
        </w:tc>
        <w:tc>
          <w:tcPr>
            <w:tcW w:type="dxa" w:w="1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
            </w:r>
          </w:p>
        </w:tc>
        <w:tc>
          <w:tcPr>
            <w:tcW w:type="dxa" w:w="1400"/>
            <w:tcBorders>
              <w:top w:val="single" w:color="D9D9D9" w:sz="4"/>
              <w:left w:val="single" w:color="D9D9D9" w:sz="4"/>
              <w:bottom w:val="single" w:color="D9D9D9" w:sz="4"/>
              <w:right w:val="single" w:color="D9D9D9" w:sz="4"/>
            </w:tcBorders>
            <w:shd w:fill="FFDCE1" w:val="clear"/>
            <w:tcMar>
              <w:top w:type="dxa" w:w="80"/>
              <w:left w:type="dxa" w:w="120"/>
              <w:bottom w:type="dxa" w:w="80"/>
              <w:right w:type="dxa" w:w="120"/>
            </w:tcMar>
            <w:vAlign w:val="top"/>
          </w:tcPr>
          <w:p>
            <w:pPr>
              <w:jc w:val="center"/>
            </w:pPr>
            <w:r>
              <w:rPr>
                <w:rFonts w:ascii="Arial" w:cs="Arial" w:eastAsia="Arial" w:hAnsi="Arial"/>
                <w:b/>
                <w:bCs/>
                <w:i w:val="false"/>
                <w:iCs w:val="false"/>
                <w:color w:val="C00000"/>
                <w:sz w:val="22"/>
                <w:szCs w:val="22"/>
              </w:rPr>
              <w:t xml:space="preserve">✖</w:t>
            </w:r>
          </w:p>
        </w:tc>
        <w:tc>
          <w:tcPr>
            <w:tcW w:type="dxa" w:w="25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Tidak ada mekanisme independensi</w:t>
            </w:r>
          </w:p>
        </w:tc>
      </w:tr>
      <w:tr>
        <w:tc>
          <w:tcPr>
            <w:tcW w:type="dxa" w:w="3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Perlindungan DPO dari Pemecatan</w:t>
            </w:r>
          </w:p>
        </w:tc>
        <w:tc>
          <w:tcPr>
            <w:tcW w:type="dxa" w:w="1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
            </w:r>
          </w:p>
        </w:tc>
        <w:tc>
          <w:tcPr>
            <w:tcW w:type="dxa" w:w="1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
            </w:r>
          </w:p>
        </w:tc>
        <w:tc>
          <w:tcPr>
            <w:tcW w:type="dxa" w:w="1400"/>
            <w:tcBorders>
              <w:top w:val="single" w:color="D9D9D9" w:sz="4"/>
              <w:left w:val="single" w:color="D9D9D9" w:sz="4"/>
              <w:bottom w:val="single" w:color="D9D9D9" w:sz="4"/>
              <w:right w:val="single" w:color="D9D9D9" w:sz="4"/>
            </w:tcBorders>
            <w:shd w:fill="FFDCE1" w:val="clear"/>
            <w:tcMar>
              <w:top w:type="dxa" w:w="80"/>
              <w:left w:type="dxa" w:w="120"/>
              <w:bottom w:type="dxa" w:w="80"/>
              <w:right w:type="dxa" w:w="120"/>
            </w:tcMar>
            <w:vAlign w:val="top"/>
          </w:tcPr>
          <w:p>
            <w:pPr>
              <w:jc w:val="center"/>
            </w:pPr>
            <w:r>
              <w:rPr>
                <w:rFonts w:ascii="Arial" w:cs="Arial" w:eastAsia="Arial" w:hAnsi="Arial"/>
                <w:b/>
                <w:bCs/>
                <w:i w:val="false"/>
                <w:iCs w:val="false"/>
                <w:color w:val="C00000"/>
                <w:sz w:val="22"/>
                <w:szCs w:val="22"/>
              </w:rPr>
              <w:t xml:space="preserve">✖</w:t>
            </w:r>
          </w:p>
        </w:tc>
        <w:tc>
          <w:tcPr>
            <w:tcW w:type="dxa" w:w="25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Tidak diatur sama sekali</w:t>
            </w:r>
          </w:p>
        </w:tc>
      </w:tr>
      <w:tr>
        <w:tc>
          <w:tcPr>
            <w:tcW w:type="dxa" w:w="3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Sumber Daya &amp; Akses DPO</w:t>
            </w:r>
          </w:p>
        </w:tc>
        <w:tc>
          <w:tcPr>
            <w:tcW w:type="dxa" w:w="1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
            </w:r>
          </w:p>
        </w:tc>
        <w:tc>
          <w:tcPr>
            <w:tcW w:type="dxa" w:w="1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
            </w:r>
          </w:p>
        </w:tc>
        <w:tc>
          <w:tcPr>
            <w:tcW w:type="dxa" w:w="1400"/>
            <w:tcBorders>
              <w:top w:val="single" w:color="D9D9D9" w:sz="4"/>
              <w:left w:val="single" w:color="D9D9D9" w:sz="4"/>
              <w:bottom w:val="single" w:color="D9D9D9" w:sz="4"/>
              <w:right w:val="single" w:color="D9D9D9" w:sz="4"/>
            </w:tcBorders>
            <w:shd w:fill="FFDCE1" w:val="clear"/>
            <w:tcMar>
              <w:top w:type="dxa" w:w="80"/>
              <w:left w:type="dxa" w:w="120"/>
              <w:bottom w:type="dxa" w:w="80"/>
              <w:right w:type="dxa" w:w="120"/>
            </w:tcMar>
            <w:vAlign w:val="top"/>
          </w:tcPr>
          <w:p>
            <w:pPr>
              <w:jc w:val="center"/>
            </w:pPr>
            <w:r>
              <w:rPr>
                <w:rFonts w:ascii="Arial" w:cs="Arial" w:eastAsia="Arial" w:hAnsi="Arial"/>
                <w:b/>
                <w:bCs/>
                <w:i w:val="false"/>
                <w:iCs w:val="false"/>
                <w:color w:val="C00000"/>
                <w:sz w:val="22"/>
                <w:szCs w:val="22"/>
              </w:rPr>
              <w:t xml:space="preserve">✖</w:t>
            </w:r>
          </w:p>
        </w:tc>
        <w:tc>
          <w:tcPr>
            <w:tcW w:type="dxa" w:w="25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Tidak ada jaminan akses informasi/anggaran</w:t>
            </w:r>
          </w:p>
        </w:tc>
      </w:tr>
      <w:tr>
        <w:tc>
          <w:tcPr>
            <w:tcW w:type="dxa" w:w="3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Laporan kepada Otoritas Pengawas</w:t>
            </w:r>
          </w:p>
        </w:tc>
        <w:tc>
          <w:tcPr>
            <w:tcW w:type="dxa" w:w="1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
            </w:r>
          </w:p>
        </w:tc>
        <w:tc>
          <w:tcPr>
            <w:tcW w:type="dxa" w:w="1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
            </w:r>
          </w:p>
        </w:tc>
        <w:tc>
          <w:tcPr>
            <w:tcW w:type="dxa" w:w="1400"/>
            <w:tcBorders>
              <w:top w:val="single" w:color="D9D9D9" w:sz="4"/>
              <w:left w:val="single" w:color="D9D9D9" w:sz="4"/>
              <w:bottom w:val="single" w:color="D9D9D9" w:sz="4"/>
              <w:right w:val="single" w:color="D9D9D9" w:sz="4"/>
            </w:tcBorders>
            <w:shd w:fill="FFDCE1" w:val="clear"/>
            <w:tcMar>
              <w:top w:type="dxa" w:w="80"/>
              <w:left w:type="dxa" w:w="120"/>
              <w:bottom w:type="dxa" w:w="80"/>
              <w:right w:type="dxa" w:w="120"/>
            </w:tcMar>
            <w:vAlign w:val="top"/>
          </w:tcPr>
          <w:p>
            <w:pPr>
              <w:jc w:val="center"/>
            </w:pPr>
            <w:r>
              <w:rPr>
                <w:rFonts w:ascii="Arial" w:cs="Arial" w:eastAsia="Arial" w:hAnsi="Arial"/>
                <w:b/>
                <w:bCs/>
                <w:i w:val="false"/>
                <w:iCs w:val="false"/>
                <w:color w:val="C00000"/>
                <w:sz w:val="22"/>
                <w:szCs w:val="22"/>
              </w:rPr>
              <w:t xml:space="preserve">✖</w:t>
            </w:r>
          </w:p>
        </w:tc>
        <w:tc>
          <w:tcPr>
            <w:tcW w:type="dxa" w:w="25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Tidak ada alur pelaporan kepada Lembaga PDP</w:t>
            </w:r>
          </w:p>
        </w:tc>
      </w:tr>
      <w:tr>
        <w:tc>
          <w:tcPr>
            <w:tcW w:type="dxa" w:w="3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Pelaporan Pelanggaran Data (Breach)</w:t>
            </w:r>
          </w:p>
        </w:tc>
        <w:tc>
          <w:tcPr>
            <w:tcW w:type="dxa" w:w="1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
            </w:r>
          </w:p>
        </w:tc>
        <w:tc>
          <w:tcPr>
            <w:tcW w:type="dxa" w:w="1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
            </w:r>
          </w:p>
        </w:tc>
        <w:tc>
          <w:tcPr>
            <w:tcW w:type="dxa" w:w="1400"/>
            <w:tcBorders>
              <w:top w:val="single" w:color="D9D9D9" w:sz="4"/>
              <w:left w:val="single" w:color="D9D9D9" w:sz="4"/>
              <w:bottom w:val="single" w:color="D9D9D9" w:sz="4"/>
              <w:right w:val="single" w:color="D9D9D9" w:sz="4"/>
            </w:tcBorders>
            <w:shd w:fill="FFDCE1" w:val="clear"/>
            <w:tcMar>
              <w:top w:type="dxa" w:w="80"/>
              <w:left w:type="dxa" w:w="120"/>
              <w:bottom w:type="dxa" w:w="80"/>
              <w:right w:type="dxa" w:w="120"/>
            </w:tcMar>
            <w:vAlign w:val="top"/>
          </w:tcPr>
          <w:p>
            <w:pPr>
              <w:jc w:val="center"/>
            </w:pPr>
            <w:r>
              <w:rPr>
                <w:rFonts w:ascii="Arial" w:cs="Arial" w:eastAsia="Arial" w:hAnsi="Arial"/>
                <w:b/>
                <w:bCs/>
                <w:i w:val="false"/>
                <w:iCs w:val="false"/>
                <w:color w:val="C00000"/>
                <w:sz w:val="22"/>
                <w:szCs w:val="22"/>
              </w:rPr>
              <w:t xml:space="preserve">✖</w:t>
            </w:r>
          </w:p>
        </w:tc>
        <w:tc>
          <w:tcPr>
            <w:tcW w:type="dxa" w:w="25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Tidak ada prosedur breach notification</w:t>
            </w:r>
          </w:p>
        </w:tc>
      </w:tr>
      <w:tr>
        <w:tc>
          <w:tcPr>
            <w:tcW w:type="dxa" w:w="3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Masa Berlaku &amp; Evaluasi SK</w:t>
            </w:r>
          </w:p>
        </w:tc>
        <w:tc>
          <w:tcPr>
            <w:tcW w:type="dxa" w:w="1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
            </w:r>
          </w:p>
        </w:tc>
        <w:tc>
          <w:tcPr>
            <w:tcW w:type="dxa" w:w="14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pPr>
              <w:jc w:val="center"/>
            </w:pPr>
            <w:r>
              <w:rPr>
                <w:rFonts w:ascii="Arial" w:cs="Arial" w:eastAsia="Arial" w:hAnsi="Arial"/>
                <w:b/>
                <w:bCs/>
                <w:i w:val="false"/>
                <w:iCs w:val="false"/>
                <w:color w:val="7A7A00"/>
                <w:sz w:val="22"/>
                <w:szCs w:val="22"/>
              </w:rPr>
              <w:t xml:space="preserve">●</w:t>
            </w:r>
          </w:p>
        </w:tc>
        <w:tc>
          <w:tcPr>
            <w:tcW w:type="dxa" w:w="1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
            </w:r>
          </w:p>
        </w:tc>
        <w:tc>
          <w:tcPr>
            <w:tcW w:type="dxa" w:w="25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Ada klausul tinjauan berkala namun tidak spesifik</w:t>
            </w:r>
          </w:p>
        </w:tc>
      </w:tr>
    </w:tbl>
    <w:p>
      <w:pPr>
        <w:spacing w:after="80" w:before="160"/>
      </w:pPr>
      <w:r>
        <w:rPr>
          <w:rFonts w:ascii="Arial" w:cs="Arial" w:eastAsia="Arial" w:hAnsi="Arial"/>
          <w:b/>
          <w:bCs/>
          <w:color w:val="1F3864"/>
          <w:sz w:val="22"/>
          <w:szCs w:val="22"/>
        </w:rPr>
        <w:t xml:space="preserve">Kesimpulan Umum: </w:t>
      </w:r>
    </w:p>
    <w:p>
      <w:pPr>
        <w:pBdr>
          <w:left w:val="single" w:color="C00000" w:sz="12" w:space="8"/>
        </w:pBdr>
        <w:shd w:fill="FFDCE1" w:val="clear"/>
        <w:spacing w:after="120" w:before="80"/>
        <w:ind w:left="200"/>
      </w:pPr>
      <w:r>
        <w:rPr>
          <w:rFonts w:ascii="Arial" w:cs="Arial" w:eastAsia="Arial" w:hAnsi="Arial"/>
          <w:b/>
          <w:bCs/>
          <w:color w:val="C00000"/>
          <w:sz w:val="22"/>
          <w:szCs w:val="22"/>
        </w:rPr>
        <w:t xml:space="preserve">TIDAK SEPENUHNYA PATUH</w:t>
      </w:r>
      <w:r>
        <w:rPr>
          <w:rFonts w:ascii="Arial" w:cs="Arial" w:eastAsia="Arial" w:hAnsi="Arial"/>
          <w:sz w:val="22"/>
          <w:szCs w:val="22"/>
        </w:rPr>
        <w:t xml:space="preserve"> - SK ini memiliki 5 (lima) temuan KRITIS dan 3 (tiga) temuan MAYOR yang harus segera ditindaklanjuti. Meskipun SK sudah memuat beberapa elemen dasar yang dipersyaratkan UU PDP, terdapat kesenjangan fundamental terutama pada aspek independensi DPO, perlindungan dari pemecatan, sumber daya, dan mekanisme pelaporan pelanggaran data yang sama sekali belum diatur.</w:t>
      </w:r>
    </w:p>
    <w:p>
      <w:r>
        <w:br w:type="page"/>
      </w:r>
    </w:p>
    <w:p>
      <w:pPr>
        <w:pStyle w:val="Heading1"/>
      </w:pPr>
      <w:r>
        <w:t xml:space="preserve">2. DASAR HUKUM AUDIT</w:t>
      </w:r>
    </w:p>
    <w:p>
      <w:pPr>
        <w:spacing w:after="80" w:before="160"/>
      </w:pPr>
      <w:r>
        <w:rPr>
          <w:rFonts w:ascii="Arial" w:cs="Arial" w:eastAsia="Arial" w:hAnsi="Arial"/>
          <w:sz w:val="22"/>
          <w:szCs w:val="22"/>
        </w:rPr>
        <w:t xml:space="preserve">Review ini mengacu pada peraturan perundang-undangan berikut:</w:t>
      </w:r>
    </w:p>
    <w:p>
      <w:pPr>
        <w:pStyle w:val="ListParagraph"/>
        <w:numPr>
          <w:ilvl w:val="0"/>
          <w:numId w:val="2"/>
        </w:numPr>
        <w:spacing w:after="80"/>
      </w:pPr>
      <w:r>
        <w:rPr>
          <w:rFonts w:ascii="Arial" w:cs="Arial" w:eastAsia="Arial" w:hAnsi="Arial"/>
          <w:b w:val="false"/>
          <w:bCs w:val="false"/>
          <w:sz w:val="22"/>
          <w:szCs w:val="22"/>
        </w:rPr>
        <w:t xml:space="preserve">UU No. 27 Tahun 2022 tentang Pelindungan Data Pribadi (UU PDP), berlaku efektif 17 Oktober 2024</w:t>
      </w:r>
    </w:p>
    <w:p>
      <w:pPr>
        <w:pStyle w:val="ListParagraph"/>
        <w:numPr>
          <w:ilvl w:val="1"/>
          <w:numId w:val="2"/>
        </w:numPr>
        <w:spacing w:after="80"/>
      </w:pPr>
      <w:r>
        <w:rPr>
          <w:rFonts w:ascii="Arial" w:cs="Arial" w:eastAsia="Arial" w:hAnsi="Arial"/>
          <w:b w:val="false"/>
          <w:bCs w:val="false"/>
          <w:sz w:val="22"/>
          <w:szCs w:val="22"/>
        </w:rPr>
        <w:t xml:space="preserve">Pasal 53: Kewajiban penunjukan Petugas PDP</w:t>
      </w:r>
    </w:p>
    <w:p>
      <w:pPr>
        <w:pStyle w:val="ListParagraph"/>
        <w:numPr>
          <w:ilvl w:val="1"/>
          <w:numId w:val="2"/>
        </w:numPr>
        <w:spacing w:after="80"/>
      </w:pPr>
      <w:r>
        <w:rPr>
          <w:rFonts w:ascii="Arial" w:cs="Arial" w:eastAsia="Arial" w:hAnsi="Arial"/>
          <w:b w:val="false"/>
          <w:bCs w:val="false"/>
          <w:sz w:val="22"/>
          <w:szCs w:val="22"/>
        </w:rPr>
        <w:t xml:space="preserve">Pasal 54: Kualifikasi, tugas, dan fungsi Petugas PDP</w:t>
      </w:r>
    </w:p>
    <w:p>
      <w:pPr>
        <w:pStyle w:val="ListParagraph"/>
        <w:numPr>
          <w:ilvl w:val="1"/>
          <w:numId w:val="2"/>
        </w:numPr>
        <w:spacing w:after="80"/>
      </w:pPr>
      <w:r>
        <w:rPr>
          <w:rFonts w:ascii="Arial" w:cs="Arial" w:eastAsia="Arial" w:hAnsi="Arial"/>
          <w:b w:val="false"/>
          <w:bCs w:val="false"/>
          <w:sz w:val="22"/>
          <w:szCs w:val="22"/>
        </w:rPr>
        <w:t xml:space="preserve">Pasal 57-58: Kewajiban Pengendali Data terkait keamanan dan pelanggaran data</w:t>
      </w:r>
    </w:p>
    <w:p>
      <w:pPr>
        <w:pStyle w:val="ListParagraph"/>
        <w:numPr>
          <w:ilvl w:val="0"/>
          <w:numId w:val="2"/>
        </w:numPr>
        <w:spacing w:after="80"/>
      </w:pPr>
      <w:r>
        <w:rPr>
          <w:rFonts w:ascii="Arial" w:cs="Arial" w:eastAsia="Arial" w:hAnsi="Arial"/>
          <w:b w:val="false"/>
          <w:bCs w:val="false"/>
          <w:sz w:val="22"/>
          <w:szCs w:val="22"/>
        </w:rPr>
        <w:t xml:space="preserve">POJK No. 22 Tahun 2023 tentang Perlindungan Konsumen dan Masyarakat di Sektor Jasa Keuangan</w:t>
      </w:r>
    </w:p>
    <w:p>
      <w:pPr>
        <w:pStyle w:val="ListParagraph"/>
        <w:numPr>
          <w:ilvl w:val="0"/>
          <w:numId w:val="2"/>
        </w:numPr>
        <w:spacing w:after="80"/>
      </w:pPr>
      <w:r>
        <w:rPr>
          <w:rFonts w:ascii="Arial" w:cs="Arial" w:eastAsia="Arial" w:hAnsi="Arial"/>
          <w:b w:val="false"/>
          <w:bCs w:val="false"/>
          <w:sz w:val="22"/>
          <w:szCs w:val="22"/>
        </w:rPr>
        <w:t xml:space="preserve">UU No. 40 Tahun 2014 tentang Perasuransian sebagaimana diubah UU No. 4 Tahun 2023</w:t>
      </w:r>
    </w:p>
    <w:p>
      <w:pPr>
        <w:pStyle w:val="ListParagraph"/>
        <w:numPr>
          <w:ilvl w:val="0"/>
          <w:numId w:val="2"/>
        </w:numPr>
        <w:spacing w:after="80"/>
      </w:pPr>
      <w:r>
        <w:rPr>
          <w:rFonts w:ascii="Arial" w:cs="Arial" w:eastAsia="Arial" w:hAnsi="Arial"/>
          <w:b w:val="false"/>
          <w:bCs w:val="false"/>
          <w:sz w:val="22"/>
          <w:szCs w:val="22"/>
        </w:rPr>
        <w:t xml:space="preserve">Putusan Mahkamah Konstitusi atas Pasal 53 ayat (1) UU PDP: kata 'dan' dimaknai 'dan/atau'</w:t>
      </w:r>
    </w:p>
    <w:p>
      <w:pPr>
        <w:spacing w:after="80" w:before="160"/>
      </w:pPr>
      <w:r>
        <w:rPr>
          <w:rFonts w:ascii="Arial" w:cs="Arial" w:eastAsia="Arial" w:hAnsi="Arial"/>
          <w:b/>
          <w:bCs/>
          <w:color w:val="2E75B6"/>
          <w:sz w:val="22"/>
          <w:szCs w:val="22"/>
        </w:rPr>
        <w:t xml:space="preserve">Catatan Auditor:</w:t>
      </w:r>
    </w:p>
    <w:p>
      <w:pPr>
        <w:shd w:fill="DDEEFF" w:val="clear"/>
        <w:spacing w:after="120"/>
        <w:ind w:left="200"/>
      </w:pPr>
      <w:r>
        <w:rPr>
          <w:rFonts w:ascii="Arial" w:cs="Arial" w:eastAsia="Arial" w:hAnsi="Arial"/>
          <w:sz w:val="22"/>
          <w:szCs w:val="22"/>
        </w:rPr>
        <w:t xml:space="preserve">Per tanggal review (25 Maret 2026), Peraturan Pemerintah (PP) sebagai aturan pelaksana UU PDP masih dalam proses harmonisasi di Kemenkumham dan belum diterbitkan. Demikian pula Badan Pengawas Pelindungan Data Pribadi (Lembaga PDP) sebagaimana diamanatkan Pasal 58 UU PDP belum terbentuk. Namun demikian, kewajiban-kewajiban dalam UU PDP telah berlaku penuh dan perusahaan wajib mematuhinya.</w:t>
      </w:r>
    </w:p>
    <w:p>
      <w:r>
        <w:br w:type="page"/>
      </w:r>
    </w:p>
    <w:p>
      <w:pPr>
        <w:pStyle w:val="Heading1"/>
      </w:pPr>
      <w:r>
        <w:t xml:space="preserve">3. TEMUAN AUDIT DETAIL</w:t>
      </w:r>
    </w:p>
    <w:p>
      <w:pPr>
        <w:pStyle w:val="Heading2"/>
      </w:pPr>
      <w:r>
        <w:t xml:space="preserve">3.1  Aspek yang Sudah Sesuai dengan UU PDP</w:t>
      </w:r>
    </w:p>
    <w:p>
      <w:pPr>
        <w:spacing w:after="80"/>
      </w:pPr>
      <w:r>
        <w:rPr>
          <w:rFonts w:ascii="Arial" w:cs="Arial" w:eastAsia="Arial" w:hAnsi="Arial"/>
          <w:b/>
          <w:bCs/>
          <w:color w:val="1F3864"/>
          <w:sz w:val="22"/>
          <w:szCs w:val="22"/>
        </w:rPr>
        <w:t xml:space="preserve">A.  Kewajiban Penunjukan DPO (Pasal 53 UU PDP) ✔</w:t>
      </w:r>
    </w:p>
    <w:p>
      <w:pPr>
        <w:spacing w:after="80"/>
      </w:pPr>
      <w:r>
        <w:rPr>
          <w:rFonts w:ascii="Arial" w:cs="Arial" w:eastAsia="Arial" w:hAnsi="Arial"/>
          <w:sz w:val="22"/>
          <w:szCs w:val="22"/>
        </w:rPr>
        <w:t xml:space="preserve">SK ini sudah memenuhi kewajiban penunjukan DPO karena PT Equity Life Indonesia sebagai perusahaan asuransi jiwa melakukan pemrosesan data pribadi nasabah dalam skala besar secara teratur dan sistematis, yang merupakan salah satu kondisi kewajiban berdasarkan Pasal 53 ayat (1) UU PDP.</w:t>
      </w:r>
    </w:p>
    <w:p>
      <w:pPr>
        <w:pStyle w:val="ListParagraph"/>
        <w:numPr>
          <w:ilvl w:val="0"/>
          <w:numId w:val="2"/>
        </w:numPr>
        <w:spacing w:after="80"/>
      </w:pPr>
      <w:r>
        <w:rPr>
          <w:rFonts w:ascii="Arial" w:cs="Arial" w:eastAsia="Arial" w:hAnsi="Arial"/>
          <w:b w:val="false"/>
          <w:bCs w:val="false"/>
          <w:sz w:val="22"/>
          <w:szCs w:val="22"/>
        </w:rPr>
        <w:t xml:space="preserve">SK telah menunjuk 1 (satu) Ketua dan 10 (sepuluh) Anggota Petugas PDP dari berbagai divisi</w:t>
      </w:r>
    </w:p>
    <w:p>
      <w:pPr>
        <w:pStyle w:val="ListParagraph"/>
        <w:numPr>
          <w:ilvl w:val="0"/>
          <w:numId w:val="2"/>
        </w:numPr>
        <w:spacing w:after="80"/>
      </w:pPr>
      <w:r>
        <w:rPr>
          <w:rFonts w:ascii="Arial" w:cs="Arial" w:eastAsia="Arial" w:hAnsi="Arial"/>
          <w:b w:val="false"/>
          <w:bCs w:val="false"/>
          <w:sz w:val="22"/>
          <w:szCs w:val="22"/>
        </w:rPr>
        <w:t xml:space="preserve">Penunjukan sudah mencakup divisi kunci: Legal &amp; Compliance, Risk Management, Data Management, IT (DevSecOps)</w:t>
      </w:r>
    </w:p>
    <w:p>
      <w:pPr>
        <w:pStyle w:val="ListParagraph"/>
        <w:numPr>
          <w:ilvl w:val="0"/>
          <w:numId w:val="2"/>
        </w:numPr>
        <w:spacing w:after="80"/>
      </w:pPr>
      <w:r>
        <w:rPr>
          <w:rFonts w:ascii="Arial" w:cs="Arial" w:eastAsia="Arial" w:hAnsi="Arial"/>
          <w:b w:val="false"/>
          <w:bCs w:val="false"/>
          <w:sz w:val="22"/>
          <w:szCs w:val="22"/>
        </w:rPr>
        <w:t xml:space="preserve">SK mencantumkan nomor dan tanggal, ditandatangani oleh Presiden Direktur dan Direktur</w:t>
      </w:r>
    </w:p>
    <w:p>
      <w:pPr>
        <w:pStyle w:val="ListParagraph"/>
        <w:numPr>
          <w:ilvl w:val="0"/>
          <w:numId w:val="2"/>
        </w:numPr>
        <w:spacing w:after="80"/>
      </w:pPr>
      <w:r>
        <w:rPr>
          <w:rFonts w:ascii="Arial" w:cs="Arial" w:eastAsia="Arial" w:hAnsi="Arial"/>
          <w:b w:val="false"/>
          <w:bCs w:val="false"/>
          <w:sz w:val="22"/>
          <w:szCs w:val="22"/>
        </w:rPr>
        <w:t xml:space="preserve">SK secara tegas mencabut dan menggantikan SK sebelumnya (No. 078/HCD-SK/X/2024)</w:t>
      </w:r>
    </w:p>
    <w:p>
      <w:pPr>
        <w:spacing w:after="80" w:before="160"/>
      </w:pPr>
      <w:r>
        <w:rPr>
          <w:rFonts w:ascii="Arial" w:cs="Arial" w:eastAsia="Arial" w:hAnsi="Arial"/>
          <w:b/>
          <w:bCs/>
          <w:color w:val="1F3864"/>
          <w:sz w:val="22"/>
          <w:szCs w:val="22"/>
        </w:rPr>
        <w:t xml:space="preserve">B.  Tugas dan Fungsi DPO (Pasal 54 ayat 2 UU PDP) ✔</w:t>
      </w:r>
    </w:p>
    <w:p>
      <w:pPr>
        <w:spacing w:after="80"/>
      </w:pPr>
      <w:r>
        <w:rPr>
          <w:rFonts w:ascii="Arial" w:cs="Arial" w:eastAsia="Arial" w:hAnsi="Arial"/>
          <w:sz w:val="22"/>
          <w:szCs w:val="22"/>
        </w:rPr>
        <w:t xml:space="preserve">SK telah mencantumkan tugas-tugas yang sebagian besar selaras dengan Pasal 54 ayat (2) UU PDP, yaitu:</w:t>
      </w:r>
    </w:p>
    <w:p>
      <w:pPr>
        <w:pStyle w:val="ListParagraph"/>
        <w:numPr>
          <w:ilvl w:val="0"/>
          <w:numId w:val="2"/>
        </w:numPr>
        <w:spacing w:after="80"/>
      </w:pPr>
      <w:r>
        <w:rPr>
          <w:rFonts w:ascii="Arial" w:cs="Arial" w:eastAsia="Arial" w:hAnsi="Arial"/>
          <w:b w:val="false"/>
          <w:bCs w:val="false"/>
          <w:sz w:val="22"/>
          <w:szCs w:val="22"/>
        </w:rPr>
        <w:t xml:space="preserve">Memberikan informasi dan saran kepada Pengendali Data (poin a SK) - sesuai Pasal 54(2)a</w:t>
      </w:r>
    </w:p>
    <w:p>
      <w:pPr>
        <w:pStyle w:val="ListParagraph"/>
        <w:numPr>
          <w:ilvl w:val="0"/>
          <w:numId w:val="2"/>
        </w:numPr>
        <w:spacing w:after="80"/>
      </w:pPr>
      <w:r>
        <w:rPr>
          <w:rFonts w:ascii="Arial" w:cs="Arial" w:eastAsia="Arial" w:hAnsi="Arial"/>
          <w:b w:val="false"/>
          <w:bCs w:val="false"/>
          <w:sz w:val="22"/>
          <w:szCs w:val="22"/>
        </w:rPr>
        <w:t xml:space="preserve">Memantau kepatuhan terhadap UU PDP (poin b SK) - sesuai Pasal 54(2)b</w:t>
      </w:r>
    </w:p>
    <w:p>
      <w:pPr>
        <w:pStyle w:val="ListParagraph"/>
        <w:numPr>
          <w:ilvl w:val="0"/>
          <w:numId w:val="2"/>
        </w:numPr>
        <w:spacing w:after="80"/>
      </w:pPr>
      <w:r>
        <w:rPr>
          <w:rFonts w:ascii="Arial" w:cs="Arial" w:eastAsia="Arial" w:hAnsi="Arial"/>
          <w:b w:val="false"/>
          <w:bCs w:val="false"/>
          <w:sz w:val="22"/>
          <w:szCs w:val="22"/>
        </w:rPr>
        <w:t xml:space="preserve">Berkoordinasi dan menjadi narahubung pemrosesan data (poin c SK) - sesuai Pasal 54(2)d</w:t>
      </w:r>
    </w:p>
    <w:p>
      <w:pPr>
        <w:pStyle w:val="ListParagraph"/>
        <w:numPr>
          <w:ilvl w:val="0"/>
          <w:numId w:val="2"/>
        </w:numPr>
        <w:spacing w:after="80"/>
      </w:pPr>
      <w:r>
        <w:rPr>
          <w:rFonts w:ascii="Arial" w:cs="Arial" w:eastAsia="Arial" w:hAnsi="Arial"/>
          <w:b w:val="false"/>
          <w:bCs w:val="false"/>
          <w:sz w:val="22"/>
          <w:szCs w:val="22"/>
        </w:rPr>
        <w:t xml:space="preserve">Membantu analisis dampak pelindungan data / DPIA (poin f SK) - sesuai Pasal 54(2)c</w:t>
      </w:r>
    </w:p>
    <w:p>
      <w:pPr>
        <w:pStyle w:val="ListParagraph"/>
        <w:numPr>
          <w:ilvl w:val="0"/>
          <w:numId w:val="2"/>
        </w:numPr>
        <w:spacing w:after="80"/>
      </w:pPr>
      <w:r>
        <w:rPr>
          <w:rFonts w:ascii="Arial" w:cs="Arial" w:eastAsia="Arial" w:hAnsi="Arial"/>
          <w:b w:val="false"/>
          <w:bCs w:val="false"/>
          <w:sz w:val="22"/>
          <w:szCs w:val="22"/>
        </w:rPr>
        <w:t xml:space="preserve">Berperan independen dalam menjalankan tugas (poin g SK) - mengakui prinsip independensi</w:t>
      </w:r>
    </w:p>
    <w:p>
      <w:pPr>
        <w:spacing w:after="80" w:before="160"/>
      </w:pPr>
      <w:r>
        <w:rPr>
          <w:rFonts w:ascii="Arial" w:cs="Arial" w:eastAsia="Arial" w:hAnsi="Arial"/>
          <w:b/>
          <w:bCs/>
          <w:color w:val="1F3864"/>
          <w:sz w:val="22"/>
          <w:szCs w:val="22"/>
        </w:rPr>
        <w:t xml:space="preserve">C.  Garis Pelaporan yang Jelas</w:t>
      </w:r>
    </w:p>
    <w:p>
      <w:pPr>
        <w:spacing w:after="120"/>
      </w:pPr>
      <w:r>
        <w:rPr>
          <w:rFonts w:ascii="Arial" w:cs="Arial" w:eastAsia="Arial" w:hAnsi="Arial"/>
          <w:sz w:val="22"/>
          <w:szCs w:val="22"/>
        </w:rPr>
        <w:t xml:space="preserve">SK menetapkan bahwa DPO bertanggung jawab kepada Chief Technology &amp; Information Officer, Direktur Kepatuhan, dan Presiden Direktur. Hal ini menunjukkan adanya jalur eskalasi yang jelas ke level tertinggi perusahaan.</w:t>
      </w:r>
    </w:p>
    <w:p>
      <w:pPr>
        <w:pStyle w:val="Heading2"/>
      </w:pPr>
      <w:r>
        <w:t xml:space="preserve">3.2  Temuan Audit: Ketidaksesuaian dan Kelemahan Kritikal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000"/>
        <w:gridCol w:w="2800"/>
        <w:gridCol w:w="1400"/>
        <w:gridCol w:w="700"/>
      </w:tblGrid>
      <w:tr>
        <w:tc>
          <w:tcPr>
            <w:tcW w:type="dxa" w:w="5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22"/>
                <w:szCs w:val="22"/>
              </w:rPr>
              <w:t xml:space="preserve">No</w:t>
            </w:r>
          </w:p>
        </w:tc>
        <w:tc>
          <w:tcPr>
            <w:tcW w:type="dxa" w:w="1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Aspek</w:t>
            </w:r>
          </w:p>
        </w:tc>
        <w:tc>
          <w:tcPr>
            <w:tcW w:type="dxa" w:w="3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Temuan (Gap)</w:t>
            </w:r>
          </w:p>
        </w:tc>
        <w:tc>
          <w:tcPr>
            <w:tcW w:type="dxa" w:w="2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Rekomendasi Perbaikan</w:t>
            </w:r>
          </w:p>
        </w:tc>
        <w:tc>
          <w:tcPr>
            <w:tcW w:type="dxa" w:w="1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Pasal UU PDP</w:t>
            </w:r>
          </w:p>
        </w:tc>
        <w:tc>
          <w:tcPr>
            <w:tcW w:type="dxa" w:w="7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22"/>
                <w:szCs w:val="22"/>
              </w:rPr>
              <w:t xml:space="preserve">Level</w:t>
            </w:r>
          </w:p>
        </w:tc>
      </w:tr>
      <w:tr>
        <w:tc>
          <w:tcPr>
            <w:tcW w:type="dxa" w:w="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2"/>
                <w:szCs w:val="22"/>
              </w:rPr>
              <w:t xml:space="preserve">F-01</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2"/>
                <w:szCs w:val="22"/>
              </w:rPr>
              <w:t xml:space="preserve">Kualifikasi DPO tidak diverifikasi</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SK hanya mencantumkan nama dan divisi tanpa menyebut dasar penunjukan berdasarkan profesionalitas, pengetahuan hukum PDP, atau kemampuan teknis. UU PDP mensyaratkan penunjukan didasarkan pada kompetensi spesifik.</w:t>
            </w:r>
          </w:p>
        </w:tc>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Tambahkan klausul yang menyatakan bahwa setiap Petugas PDP telah memenuhi kualifikasi berupa: (a) pengetahuan hukum PDP, (b) pengalaman di bidang terkait, dan (c) sertifikasi/pelatihan PDP yang relevan. Lampirkan bukti kualifikasi.</w:t>
            </w:r>
          </w:p>
        </w:tc>
        <w:tc>
          <w:tcPr>
            <w:tcW w:type="dxa" w:w="1400"/>
            <w:tcBorders>
              <w:top w:val="single" w:color="D9D9D9" w:sz="4"/>
              <w:left w:val="single" w:color="D9D9D9" w:sz="4"/>
              <w:bottom w:val="single" w:color="D9D9D9" w:sz="4"/>
              <w:right w:val="single" w:color="D9D9D9" w:sz="4"/>
            </w:tcBorders>
            <w:shd w:fill="DDEEFF" w:val="clear"/>
            <w:tcMar>
              <w:top w:type="dxa" w:w="80"/>
              <w:left w:type="dxa" w:w="120"/>
              <w:bottom w:type="dxa" w:w="80"/>
              <w:right w:type="dxa" w:w="120"/>
            </w:tcMar>
            <w:vAlign w:val="top"/>
          </w:tcPr>
          <w:p>
            <w:pPr>
              <w:jc w:val="left"/>
            </w:pPr>
            <w:r>
              <w:rPr>
                <w:rFonts w:ascii="Arial" w:cs="Arial" w:eastAsia="Arial" w:hAnsi="Arial"/>
                <w:b w:val="false"/>
                <w:bCs w:val="false"/>
                <w:i/>
                <w:iCs/>
                <w:color w:val="000000"/>
                <w:sz w:val="20"/>
                <w:szCs w:val="20"/>
              </w:rPr>
              <w:t xml:space="preserve">Pasal 54 ayat (1) UU PDP</w:t>
            </w:r>
          </w:p>
        </w:tc>
        <w:tc>
          <w:tcPr>
            <w:tcW w:type="dxa" w:w="7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vAlign w:val="top"/>
          </w:tcPr>
          <w:p>
            <w:pPr>
              <w:jc w:val="center"/>
            </w:pPr>
            <w:r>
              <w:rPr>
                <w:rFonts w:ascii="Arial" w:cs="Arial" w:eastAsia="Arial" w:hAnsi="Arial"/>
                <w:b/>
                <w:bCs/>
                <w:i w:val="false"/>
                <w:iCs w:val="false"/>
                <w:color w:val="ED7D31"/>
                <w:sz w:val="20"/>
                <w:szCs w:val="20"/>
              </w:rPr>
              <w:t xml:space="preserve">MAYOR</w:t>
            </w:r>
          </w:p>
        </w:tc>
      </w:tr>
      <w:tr>
        <w:tc>
          <w:tcPr>
            <w:tcW w:type="dxa" w:w="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2"/>
                <w:szCs w:val="22"/>
              </w:rPr>
              <w:t xml:space="preserve">F-02</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2"/>
                <w:szCs w:val="22"/>
              </w:rPr>
              <w:t xml:space="preserve">Independensi DPO tidak dijamin secara struktural</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Meskipun poin g SK menyebut DPO 'berperan secara independen', tidak ada mekanisme konkret yang menjamin independensi tersebut. Ketua DPO berasal dari divisi IT (Development Security Operations) yang merupakan divisi operasional, sehingga berpotensi terjadi konflik kepentingan ketika mengawasi pemrosesan data di divisinya sendiri.</w:t>
            </w:r>
          </w:p>
        </w:tc>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Tambahkan klausul: (1) DPO tidak boleh menerima instruksi dari pimpinan terkait pelaksanaan tugasnya; (2) Mekanisme eskalasi langsung ke Dewan Komisaris/Komite Audit apabila terdapat konflik kepentingan; (3) Ketua DPO sebaiknya berasal dari fungsi Compliance atau fungsi yang tidak memiliki kepentingan langsung dalam pemrosesan data.</w:t>
            </w:r>
          </w:p>
        </w:tc>
        <w:tc>
          <w:tcPr>
            <w:tcW w:type="dxa" w:w="1400"/>
            <w:tcBorders>
              <w:top w:val="single" w:color="D9D9D9" w:sz="4"/>
              <w:left w:val="single" w:color="D9D9D9" w:sz="4"/>
              <w:bottom w:val="single" w:color="D9D9D9" w:sz="4"/>
              <w:right w:val="single" w:color="D9D9D9" w:sz="4"/>
            </w:tcBorders>
            <w:shd w:fill="DDEEFF" w:val="clear"/>
            <w:tcMar>
              <w:top w:type="dxa" w:w="80"/>
              <w:left w:type="dxa" w:w="120"/>
              <w:bottom w:type="dxa" w:w="80"/>
              <w:right w:type="dxa" w:w="120"/>
            </w:tcMar>
            <w:vAlign w:val="top"/>
          </w:tcPr>
          <w:p>
            <w:pPr>
              <w:jc w:val="left"/>
            </w:pPr>
            <w:r>
              <w:rPr>
                <w:rFonts w:ascii="Arial" w:cs="Arial" w:eastAsia="Arial" w:hAnsi="Arial"/>
                <w:b w:val="false"/>
                <w:bCs w:val="false"/>
                <w:i/>
                <w:iCs/>
                <w:color w:val="000000"/>
                <w:sz w:val="20"/>
                <w:szCs w:val="20"/>
              </w:rPr>
              <w:t xml:space="preserve">Pasal 54 ayat (4) UU PDP</w:t>
            </w:r>
          </w:p>
        </w:tc>
        <w:tc>
          <w:tcPr>
            <w:tcW w:type="dxa" w:w="700"/>
            <w:tcBorders>
              <w:top w:val="single" w:color="D9D9D9" w:sz="4"/>
              <w:left w:val="single" w:color="D9D9D9" w:sz="4"/>
              <w:bottom w:val="single" w:color="D9D9D9" w:sz="4"/>
              <w:right w:val="single" w:color="D9D9D9" w:sz="4"/>
            </w:tcBorders>
            <w:shd w:fill="FFDCE1" w:val="clear"/>
            <w:tcMar>
              <w:top w:type="dxa" w:w="80"/>
              <w:left w:type="dxa" w:w="120"/>
              <w:bottom w:type="dxa" w:w="80"/>
              <w:right w:type="dxa" w:w="120"/>
            </w:tcMar>
            <w:vAlign w:val="top"/>
          </w:tcPr>
          <w:p>
            <w:pPr>
              <w:jc w:val="center"/>
            </w:pPr>
            <w:r>
              <w:rPr>
                <w:rFonts w:ascii="Arial" w:cs="Arial" w:eastAsia="Arial" w:hAnsi="Arial"/>
                <w:b/>
                <w:bCs/>
                <w:i w:val="false"/>
                <w:iCs w:val="false"/>
                <w:color w:val="C00000"/>
                <w:sz w:val="20"/>
                <w:szCs w:val="20"/>
              </w:rPr>
              <w:t xml:space="preserve">KRITIS</w:t>
            </w:r>
          </w:p>
        </w:tc>
      </w:tr>
      <w:tr>
        <w:tc>
          <w:tcPr>
            <w:tcW w:type="dxa" w:w="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2"/>
                <w:szCs w:val="22"/>
              </w:rPr>
              <w:t xml:space="preserve">F-03</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2"/>
                <w:szCs w:val="22"/>
              </w:rPr>
              <w:t xml:space="preserve">Tidak ada perlindungan DPO dari sanksi/pemecatan</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SK tidak mengatur bahwa DPO tidak dapat diberhentikan atau dikenai sanksi karena menjalankan tugasnya. Tanpa perlindungan ini, fungsi pengawasan DPO tidak efektif karena DPO dapat ditekan untuk tidak melaporkan ketidakpatuhan.</w:t>
            </w:r>
          </w:p>
        </w:tc>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Tambahkan klausul eksplisit: 'Petugas PDP tidak dapat diberhentikan dari jabatannya, didegradasi, atau dikenai sanksi dalam bentuk apapun sebagai akibat dari pelaksanaan tugas dan kewenangan Pelindungan Data Pribadi berdasarkan SK ini.'</w:t>
            </w:r>
          </w:p>
        </w:tc>
        <w:tc>
          <w:tcPr>
            <w:tcW w:type="dxa" w:w="1400"/>
            <w:tcBorders>
              <w:top w:val="single" w:color="D9D9D9" w:sz="4"/>
              <w:left w:val="single" w:color="D9D9D9" w:sz="4"/>
              <w:bottom w:val="single" w:color="D9D9D9" w:sz="4"/>
              <w:right w:val="single" w:color="D9D9D9" w:sz="4"/>
            </w:tcBorders>
            <w:shd w:fill="DDEEFF" w:val="clear"/>
            <w:tcMar>
              <w:top w:type="dxa" w:w="80"/>
              <w:left w:type="dxa" w:w="120"/>
              <w:bottom w:type="dxa" w:w="80"/>
              <w:right w:type="dxa" w:w="120"/>
            </w:tcMar>
            <w:vAlign w:val="top"/>
          </w:tcPr>
          <w:p>
            <w:pPr>
              <w:jc w:val="left"/>
            </w:pPr>
            <w:r>
              <w:rPr>
                <w:rFonts w:ascii="Arial" w:cs="Arial" w:eastAsia="Arial" w:hAnsi="Arial"/>
                <w:b w:val="false"/>
                <w:bCs w:val="false"/>
                <w:i/>
                <w:iCs/>
                <w:color w:val="000000"/>
                <w:sz w:val="20"/>
                <w:szCs w:val="20"/>
              </w:rPr>
              <w:t xml:space="preserve">Prinsip Independensi Pasal 54 UU PDP</w:t>
            </w:r>
          </w:p>
        </w:tc>
        <w:tc>
          <w:tcPr>
            <w:tcW w:type="dxa" w:w="700"/>
            <w:tcBorders>
              <w:top w:val="single" w:color="D9D9D9" w:sz="4"/>
              <w:left w:val="single" w:color="D9D9D9" w:sz="4"/>
              <w:bottom w:val="single" w:color="D9D9D9" w:sz="4"/>
              <w:right w:val="single" w:color="D9D9D9" w:sz="4"/>
            </w:tcBorders>
            <w:shd w:fill="FFDCE1" w:val="clear"/>
            <w:tcMar>
              <w:top w:type="dxa" w:w="80"/>
              <w:left w:type="dxa" w:w="120"/>
              <w:bottom w:type="dxa" w:w="80"/>
              <w:right w:type="dxa" w:w="120"/>
            </w:tcMar>
            <w:vAlign w:val="top"/>
          </w:tcPr>
          <w:p>
            <w:pPr>
              <w:jc w:val="center"/>
            </w:pPr>
            <w:r>
              <w:rPr>
                <w:rFonts w:ascii="Arial" w:cs="Arial" w:eastAsia="Arial" w:hAnsi="Arial"/>
                <w:b/>
                <w:bCs/>
                <w:i w:val="false"/>
                <w:iCs w:val="false"/>
                <w:color w:val="C00000"/>
                <w:sz w:val="20"/>
                <w:szCs w:val="20"/>
              </w:rPr>
              <w:t xml:space="preserve">KRITIS</w:t>
            </w:r>
          </w:p>
        </w:tc>
      </w:tr>
      <w:tr>
        <w:tc>
          <w:tcPr>
            <w:tcW w:type="dxa" w:w="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2"/>
                <w:szCs w:val="22"/>
              </w:rPr>
              <w:t xml:space="preserve">F-04</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2"/>
                <w:szCs w:val="22"/>
              </w:rPr>
              <w:t xml:space="preserve">Tidak ada jaminan sumber daya dan akses informasi</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SK tidak memastikan DPO memiliki: (a) anggaran operasional yang memadai, (b) akses ke seluruh sistem pemrosesan data, (c) hak untuk memperoleh dokumen dan informasi yang diperlukan, dan (d) waktu yang cukup untuk menjalankan tugas DPO di luar pekerjaan utamanya.</w:t>
            </w:r>
          </w:p>
        </w:tc>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Tambahkan klausul yang menjamin: DPO diberikan akses penuh ke seluruh sistem, dokumen, dan informasi pemrosesan data; alokasi waktu dan anggaran yang memadai; serta hak untuk berpartisipasi dalam setiap rapat/keputusan terkait pemrosesan data.</w:t>
            </w:r>
          </w:p>
        </w:tc>
        <w:tc>
          <w:tcPr>
            <w:tcW w:type="dxa" w:w="1400"/>
            <w:tcBorders>
              <w:top w:val="single" w:color="D9D9D9" w:sz="4"/>
              <w:left w:val="single" w:color="D9D9D9" w:sz="4"/>
              <w:bottom w:val="single" w:color="D9D9D9" w:sz="4"/>
              <w:right w:val="single" w:color="D9D9D9" w:sz="4"/>
            </w:tcBorders>
            <w:shd w:fill="DDEEFF" w:val="clear"/>
            <w:tcMar>
              <w:top w:type="dxa" w:w="80"/>
              <w:left w:type="dxa" w:w="120"/>
              <w:bottom w:type="dxa" w:w="80"/>
              <w:right w:type="dxa" w:w="120"/>
            </w:tcMar>
            <w:vAlign w:val="top"/>
          </w:tcPr>
          <w:p>
            <w:pPr>
              <w:jc w:val="left"/>
            </w:pPr>
            <w:r>
              <w:rPr>
                <w:rFonts w:ascii="Arial" w:cs="Arial" w:eastAsia="Arial" w:hAnsi="Arial"/>
                <w:b w:val="false"/>
                <w:bCs w:val="false"/>
                <w:i/>
                <w:iCs/>
                <w:color w:val="000000"/>
                <w:sz w:val="20"/>
                <w:szCs w:val="20"/>
              </w:rPr>
              <w:t xml:space="preserve">Pasal 54 ayat (2) UU PDP</w:t>
            </w:r>
          </w:p>
        </w:tc>
        <w:tc>
          <w:tcPr>
            <w:tcW w:type="dxa" w:w="700"/>
            <w:tcBorders>
              <w:top w:val="single" w:color="D9D9D9" w:sz="4"/>
              <w:left w:val="single" w:color="D9D9D9" w:sz="4"/>
              <w:bottom w:val="single" w:color="D9D9D9" w:sz="4"/>
              <w:right w:val="single" w:color="D9D9D9" w:sz="4"/>
            </w:tcBorders>
            <w:shd w:fill="FFDCE1" w:val="clear"/>
            <w:tcMar>
              <w:top w:type="dxa" w:w="80"/>
              <w:left w:type="dxa" w:w="120"/>
              <w:bottom w:type="dxa" w:w="80"/>
              <w:right w:type="dxa" w:w="120"/>
            </w:tcMar>
            <w:vAlign w:val="top"/>
          </w:tcPr>
          <w:p>
            <w:pPr>
              <w:jc w:val="center"/>
            </w:pPr>
            <w:r>
              <w:rPr>
                <w:rFonts w:ascii="Arial" w:cs="Arial" w:eastAsia="Arial" w:hAnsi="Arial"/>
                <w:b/>
                <w:bCs/>
                <w:i w:val="false"/>
                <w:iCs w:val="false"/>
                <w:color w:val="C00000"/>
                <w:sz w:val="20"/>
                <w:szCs w:val="20"/>
              </w:rPr>
              <w:t xml:space="preserve">KRITIS</w:t>
            </w:r>
          </w:p>
        </w:tc>
      </w:tr>
      <w:tr>
        <w:tc>
          <w:tcPr>
            <w:tcW w:type="dxa" w:w="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2"/>
                <w:szCs w:val="22"/>
              </w:rPr>
              <w:t xml:space="preserve">F-05</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2"/>
                <w:szCs w:val="22"/>
              </w:rPr>
              <w:t xml:space="preserve">Tidak ada alur pelaporan kepada Lembaga Pengawas PDP</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SK tidak mengatur mekanisme koordinasi atau pelaporan DPO kepada Lembaga Pengawas Pelindungan Data Pribadi (Lembaga PDP) yang diamanatkan UU PDP. DPO seharusnya menjadi titik kontak (contact point) antara perusahaan dan otoritas pengawas.</w:t>
            </w:r>
          </w:p>
        </w:tc>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Tambahkan klausul: DPO bertindak sebagai titik kontak resmi perusahaan dengan Lembaga PDP; DPO wajib melaporkan setiap pelanggaran data yang signifikan kepada Lembaga PDP dalam waktu 14 (empat belas) hari kerja sesuai ketentuan yang berlaku.</w:t>
            </w:r>
          </w:p>
        </w:tc>
        <w:tc>
          <w:tcPr>
            <w:tcW w:type="dxa" w:w="1400"/>
            <w:tcBorders>
              <w:top w:val="single" w:color="D9D9D9" w:sz="4"/>
              <w:left w:val="single" w:color="D9D9D9" w:sz="4"/>
              <w:bottom w:val="single" w:color="D9D9D9" w:sz="4"/>
              <w:right w:val="single" w:color="D9D9D9" w:sz="4"/>
            </w:tcBorders>
            <w:shd w:fill="DDEEFF" w:val="clear"/>
            <w:tcMar>
              <w:top w:type="dxa" w:w="80"/>
              <w:left w:type="dxa" w:w="120"/>
              <w:bottom w:type="dxa" w:w="80"/>
              <w:right w:type="dxa" w:w="120"/>
            </w:tcMar>
            <w:vAlign w:val="top"/>
          </w:tcPr>
          <w:p>
            <w:pPr>
              <w:jc w:val="left"/>
            </w:pPr>
            <w:r>
              <w:rPr>
                <w:rFonts w:ascii="Arial" w:cs="Arial" w:eastAsia="Arial" w:hAnsi="Arial"/>
                <w:b w:val="false"/>
                <w:bCs w:val="false"/>
                <w:i/>
                <w:iCs/>
                <w:color w:val="000000"/>
                <w:sz w:val="20"/>
                <w:szCs w:val="20"/>
              </w:rPr>
              <w:t xml:space="preserve">Pasal 54 ayat (2)d &amp; Pasal 46 UU PDP</w:t>
            </w:r>
          </w:p>
        </w:tc>
        <w:tc>
          <w:tcPr>
            <w:tcW w:type="dxa" w:w="700"/>
            <w:tcBorders>
              <w:top w:val="single" w:color="D9D9D9" w:sz="4"/>
              <w:left w:val="single" w:color="D9D9D9" w:sz="4"/>
              <w:bottom w:val="single" w:color="D9D9D9" w:sz="4"/>
              <w:right w:val="single" w:color="D9D9D9" w:sz="4"/>
            </w:tcBorders>
            <w:shd w:fill="FFDCE1" w:val="clear"/>
            <w:tcMar>
              <w:top w:type="dxa" w:w="80"/>
              <w:left w:type="dxa" w:w="120"/>
              <w:bottom w:type="dxa" w:w="80"/>
              <w:right w:type="dxa" w:w="120"/>
            </w:tcMar>
            <w:vAlign w:val="top"/>
          </w:tcPr>
          <w:p>
            <w:pPr>
              <w:jc w:val="center"/>
            </w:pPr>
            <w:r>
              <w:rPr>
                <w:rFonts w:ascii="Arial" w:cs="Arial" w:eastAsia="Arial" w:hAnsi="Arial"/>
                <w:b/>
                <w:bCs/>
                <w:i w:val="false"/>
                <w:iCs w:val="false"/>
                <w:color w:val="C00000"/>
                <w:sz w:val="20"/>
                <w:szCs w:val="20"/>
              </w:rPr>
              <w:t xml:space="preserve">KRITIS</w:t>
            </w:r>
          </w:p>
        </w:tc>
      </w:tr>
      <w:tr>
        <w:tc>
          <w:tcPr>
            <w:tcW w:type="dxa" w:w="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2"/>
                <w:szCs w:val="22"/>
              </w:rPr>
              <w:t xml:space="preserve">F-06</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2"/>
                <w:szCs w:val="22"/>
              </w:rPr>
              <w:t xml:space="preserve">Tidak ada prosedur respons pelanggaran data (Breach Notification)</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SK tidak mengatur prosedur yang harus dijalankan DPO ketika terjadi pelanggaran keamanan data (data breach). UU PDP mewajibkan notifikasi pelanggaran kepada Lembaga PDP dan kepada subjek data dalam waktu tertentu.</w:t>
            </w:r>
          </w:p>
        </w:tc>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Tambahkan klausul atau lampiran prosedur breach response: (1) DPO wajib dinotifikasi dalam waktu 1x24 jam sejak terdeteksinya pelanggaran; (2) DPO berkoordinasi dengan tim IT Security untuk investigasi; (3) Laporan kepada Lembaga PDP dalam 14 hari kerja; (4) Notifikasi kepada subjek data yang terdampak.</w:t>
            </w:r>
          </w:p>
        </w:tc>
        <w:tc>
          <w:tcPr>
            <w:tcW w:type="dxa" w:w="1400"/>
            <w:tcBorders>
              <w:top w:val="single" w:color="D9D9D9" w:sz="4"/>
              <w:left w:val="single" w:color="D9D9D9" w:sz="4"/>
              <w:bottom w:val="single" w:color="D9D9D9" w:sz="4"/>
              <w:right w:val="single" w:color="D9D9D9" w:sz="4"/>
            </w:tcBorders>
            <w:shd w:fill="DDEEFF" w:val="clear"/>
            <w:tcMar>
              <w:top w:type="dxa" w:w="80"/>
              <w:left w:type="dxa" w:w="120"/>
              <w:bottom w:type="dxa" w:w="80"/>
              <w:right w:type="dxa" w:w="120"/>
            </w:tcMar>
            <w:vAlign w:val="top"/>
          </w:tcPr>
          <w:p>
            <w:pPr>
              <w:jc w:val="left"/>
            </w:pPr>
            <w:r>
              <w:rPr>
                <w:rFonts w:ascii="Arial" w:cs="Arial" w:eastAsia="Arial" w:hAnsi="Arial"/>
                <w:b w:val="false"/>
                <w:bCs w:val="false"/>
                <w:i/>
                <w:iCs/>
                <w:color w:val="000000"/>
                <w:sz w:val="20"/>
                <w:szCs w:val="20"/>
              </w:rPr>
              <w:t xml:space="preserve">Pasal 46 &amp; Pasal 57 UU PDP</w:t>
            </w:r>
          </w:p>
        </w:tc>
        <w:tc>
          <w:tcPr>
            <w:tcW w:type="dxa" w:w="700"/>
            <w:tcBorders>
              <w:top w:val="single" w:color="D9D9D9" w:sz="4"/>
              <w:left w:val="single" w:color="D9D9D9" w:sz="4"/>
              <w:bottom w:val="single" w:color="D9D9D9" w:sz="4"/>
              <w:right w:val="single" w:color="D9D9D9" w:sz="4"/>
            </w:tcBorders>
            <w:shd w:fill="FFDCE1" w:val="clear"/>
            <w:tcMar>
              <w:top w:type="dxa" w:w="80"/>
              <w:left w:type="dxa" w:w="120"/>
              <w:bottom w:type="dxa" w:w="80"/>
              <w:right w:type="dxa" w:w="120"/>
            </w:tcMar>
            <w:vAlign w:val="top"/>
          </w:tcPr>
          <w:p>
            <w:pPr>
              <w:jc w:val="center"/>
            </w:pPr>
            <w:r>
              <w:rPr>
                <w:rFonts w:ascii="Arial" w:cs="Arial" w:eastAsia="Arial" w:hAnsi="Arial"/>
                <w:b/>
                <w:bCs/>
                <w:i w:val="false"/>
                <w:iCs w:val="false"/>
                <w:color w:val="C00000"/>
                <w:sz w:val="20"/>
                <w:szCs w:val="20"/>
              </w:rPr>
              <w:t xml:space="preserve">KRITIS</w:t>
            </w:r>
          </w:p>
        </w:tc>
      </w:tr>
      <w:tr>
        <w:tc>
          <w:tcPr>
            <w:tcW w:type="dxa" w:w="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2"/>
                <w:szCs w:val="22"/>
              </w:rPr>
              <w:t xml:space="preserve">F-07</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2"/>
                <w:szCs w:val="22"/>
              </w:rPr>
              <w:t xml:space="preserve">Klausul tinjauan berkala tidak memiliki periode yang jelas</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Poin 5 SK menyatakan 'SK ini akan ditinjau secara berkala dan disesuaikan dengan kebutuhan' tanpa menetapkan periode tinjauan yang spesifik. Hal ini berpotensi menyebabkan SK menjadi tidak relevan tanpa ada mekanisme pembaruan yang terstruktur.</w:t>
            </w:r>
          </w:p>
        </w:tc>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Tetapkan periode tinjauan secara eksplisit, misalnya: 'SK ini akan ditinjau minimal 1 (satu) kali dalam setahun atau sewaktu-waktu apabila terdapat perubahan peraturan perundang-undangan, perubahan struktur organisasi, atau kejadian signifikan terkait data pribadi.'</w:t>
            </w:r>
          </w:p>
        </w:tc>
        <w:tc>
          <w:tcPr>
            <w:tcW w:type="dxa" w:w="1400"/>
            <w:tcBorders>
              <w:top w:val="single" w:color="D9D9D9" w:sz="4"/>
              <w:left w:val="single" w:color="D9D9D9" w:sz="4"/>
              <w:bottom w:val="single" w:color="D9D9D9" w:sz="4"/>
              <w:right w:val="single" w:color="D9D9D9" w:sz="4"/>
            </w:tcBorders>
            <w:shd w:fill="DDEEFF" w:val="clear"/>
            <w:tcMar>
              <w:top w:type="dxa" w:w="80"/>
              <w:left w:type="dxa" w:w="120"/>
              <w:bottom w:type="dxa" w:w="80"/>
              <w:right w:type="dxa" w:w="120"/>
            </w:tcMar>
            <w:vAlign w:val="top"/>
          </w:tcPr>
          <w:p>
            <w:pPr>
              <w:jc w:val="left"/>
            </w:pPr>
            <w:r>
              <w:rPr>
                <w:rFonts w:ascii="Arial" w:cs="Arial" w:eastAsia="Arial" w:hAnsi="Arial"/>
                <w:b w:val="false"/>
                <w:bCs w:val="false"/>
                <w:i/>
                <w:iCs/>
                <w:color w:val="000000"/>
                <w:sz w:val="20"/>
                <w:szCs w:val="20"/>
              </w:rPr>
              <w:t xml:space="preserve">Best Practice GRC</w:t>
            </w:r>
          </w:p>
        </w:tc>
        <w:tc>
          <w:tcPr>
            <w:tcW w:type="dxa" w:w="7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vAlign w:val="top"/>
          </w:tcPr>
          <w:p>
            <w:pPr>
              <w:jc w:val="center"/>
            </w:pPr>
            <w:r>
              <w:rPr>
                <w:rFonts w:ascii="Arial" w:cs="Arial" w:eastAsia="Arial" w:hAnsi="Arial"/>
                <w:b/>
                <w:bCs/>
                <w:i w:val="false"/>
                <w:iCs w:val="false"/>
                <w:color w:val="ED7D31"/>
                <w:sz w:val="20"/>
                <w:szCs w:val="20"/>
              </w:rPr>
              <w:t xml:space="preserve">MAYOR</w:t>
            </w:r>
          </w:p>
        </w:tc>
      </w:tr>
      <w:tr>
        <w:tc>
          <w:tcPr>
            <w:tcW w:type="dxa" w:w="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000000"/>
                <w:sz w:val="22"/>
                <w:szCs w:val="22"/>
              </w:rPr>
              <w:t xml:space="preserve">F-08</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2"/>
                <w:szCs w:val="22"/>
              </w:rPr>
              <w:t xml:space="preserve">Tugas DPIA (Data Protection Impact Assessment) kurang spesifik</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Poin f SK hanya menyebutkan membantu 'analisis dampak' secara umum. UU PDP memiliki persyaratan spesifik terkait kapan DPIA wajib dilakukan dan apa saja muatannya.</w:t>
            </w:r>
          </w:p>
        </w:tc>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Spesifikasikan kewajiban DPIA: 'DPO wajib memimpin pelaksanaan Data Protection Impact Assessment (DPIA) sebelum pemrosesan data baru yang berisiko tinggi, termasuk penerapan sistem baru, proyek digitalisasi, atau kerja sama dengan pihak ketiga yang melibatkan data pribadi nasabah.'</w:t>
            </w:r>
          </w:p>
        </w:tc>
        <w:tc>
          <w:tcPr>
            <w:tcW w:type="dxa" w:w="1400"/>
            <w:tcBorders>
              <w:top w:val="single" w:color="D9D9D9" w:sz="4"/>
              <w:left w:val="single" w:color="D9D9D9" w:sz="4"/>
              <w:bottom w:val="single" w:color="D9D9D9" w:sz="4"/>
              <w:right w:val="single" w:color="D9D9D9" w:sz="4"/>
            </w:tcBorders>
            <w:shd w:fill="DDEEFF" w:val="clear"/>
            <w:tcMar>
              <w:top w:type="dxa" w:w="80"/>
              <w:left w:type="dxa" w:w="120"/>
              <w:bottom w:type="dxa" w:w="80"/>
              <w:right w:type="dxa" w:w="120"/>
            </w:tcMar>
            <w:vAlign w:val="top"/>
          </w:tcPr>
          <w:p>
            <w:pPr>
              <w:jc w:val="left"/>
            </w:pPr>
            <w:r>
              <w:rPr>
                <w:rFonts w:ascii="Arial" w:cs="Arial" w:eastAsia="Arial" w:hAnsi="Arial"/>
                <w:b w:val="false"/>
                <w:bCs w:val="false"/>
                <w:i/>
                <w:iCs/>
                <w:color w:val="000000"/>
                <w:sz w:val="20"/>
                <w:szCs w:val="20"/>
              </w:rPr>
              <w:t xml:space="preserve">Pasal 54 ayat (2)c UU PDP</w:t>
            </w:r>
          </w:p>
        </w:tc>
        <w:tc>
          <w:tcPr>
            <w:tcW w:type="dxa" w:w="7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vAlign w:val="top"/>
          </w:tcPr>
          <w:p>
            <w:pPr>
              <w:jc w:val="center"/>
            </w:pPr>
            <w:r>
              <w:rPr>
                <w:rFonts w:ascii="Arial" w:cs="Arial" w:eastAsia="Arial" w:hAnsi="Arial"/>
                <w:b/>
                <w:bCs/>
                <w:i w:val="false"/>
                <w:iCs w:val="false"/>
                <w:color w:val="ED7D31"/>
                <w:sz w:val="20"/>
                <w:szCs w:val="20"/>
              </w:rPr>
              <w:t xml:space="preserve">MAYOR</w:t>
            </w:r>
          </w:p>
        </w:tc>
      </w:tr>
    </w:tbl>
    <w:p>
      <w:r>
        <w:br w:type="page"/>
      </w:r>
    </w:p>
    <w:p>
      <w:pPr>
        <w:pStyle w:val="Heading1"/>
      </w:pPr>
      <w:r>
        <w:t xml:space="preserve">4. ANALISIS RISIKO KEPATUHAN</w:t>
      </w:r>
    </w:p>
    <w:p>
      <w:pPr>
        <w:spacing w:after="80" w:before="160"/>
      </w:pPr>
      <w:r>
        <w:rPr>
          <w:rFonts w:ascii="Arial" w:cs="Arial" w:eastAsia="Arial" w:hAnsi="Arial"/>
          <w:sz w:val="22"/>
          <w:szCs w:val="22"/>
        </w:rPr>
        <w:t xml:space="preserve">Kegagalan menindaklanjuti temuan audit ini berpotensi menimbulkan risiko sebagai berikut:</w:t>
      </w:r>
    </w:p>
    <w:p>
      <w:pPr>
        <w:pStyle w:val="Heading2"/>
      </w:pPr>
      <w:r>
        <w:t xml:space="preserve">4.1  Risiko Sanksi Administratif</w:t>
      </w:r>
    </w:p>
    <w:p>
      <w:pPr>
        <w:spacing w:after="80"/>
      </w:pPr>
      <w:r>
        <w:rPr>
          <w:rFonts w:ascii="Arial" w:cs="Arial" w:eastAsia="Arial" w:hAnsi="Arial"/>
          <w:sz w:val="22"/>
          <w:szCs w:val="22"/>
        </w:rPr>
        <w:t xml:space="preserve">UU PDP Pasal 57 menetapkan sanksi administratif bagi Pengendali Data yang tidak memenuhi kewajiban, antara lain:</w:t>
      </w:r>
    </w:p>
    <w:p>
      <w:pPr>
        <w:pStyle w:val="ListParagraph"/>
        <w:numPr>
          <w:ilvl w:val="0"/>
          <w:numId w:val="2"/>
        </w:numPr>
        <w:spacing w:after="80"/>
      </w:pPr>
      <w:r>
        <w:rPr>
          <w:rFonts w:ascii="Arial" w:cs="Arial" w:eastAsia="Arial" w:hAnsi="Arial"/>
          <w:b w:val="false"/>
          <w:bCs w:val="false"/>
          <w:sz w:val="22"/>
          <w:szCs w:val="22"/>
        </w:rPr>
        <w:t xml:space="preserve">Peringatan tertulis</w:t>
      </w:r>
    </w:p>
    <w:p>
      <w:pPr>
        <w:pStyle w:val="ListParagraph"/>
        <w:numPr>
          <w:ilvl w:val="0"/>
          <w:numId w:val="2"/>
        </w:numPr>
        <w:spacing w:after="80"/>
      </w:pPr>
      <w:r>
        <w:rPr>
          <w:rFonts w:ascii="Arial" w:cs="Arial" w:eastAsia="Arial" w:hAnsi="Arial"/>
          <w:b w:val="false"/>
          <w:bCs w:val="false"/>
          <w:sz w:val="22"/>
          <w:szCs w:val="22"/>
        </w:rPr>
        <w:t xml:space="preserve">Penghentian sementara kegiatan pemrosesan data pribadi</w:t>
      </w:r>
    </w:p>
    <w:p>
      <w:pPr>
        <w:pStyle w:val="ListParagraph"/>
        <w:numPr>
          <w:ilvl w:val="0"/>
          <w:numId w:val="2"/>
        </w:numPr>
        <w:spacing w:after="80"/>
      </w:pPr>
      <w:r>
        <w:rPr>
          <w:rFonts w:ascii="Arial" w:cs="Arial" w:eastAsia="Arial" w:hAnsi="Arial"/>
          <w:b w:val="false"/>
          <w:bCs w:val="false"/>
          <w:sz w:val="22"/>
          <w:szCs w:val="22"/>
        </w:rPr>
        <w:t xml:space="preserve">Penghapusan atau pemusnahan data pribadi</w:t>
      </w:r>
    </w:p>
    <w:p>
      <w:pPr>
        <w:pStyle w:val="ListParagraph"/>
        <w:numPr>
          <w:ilvl w:val="0"/>
          <w:numId w:val="2"/>
        </w:numPr>
        <w:spacing w:after="80"/>
      </w:pPr>
      <w:r>
        <w:rPr>
          <w:rFonts w:ascii="Arial" w:cs="Arial" w:eastAsia="Arial" w:hAnsi="Arial"/>
          <w:b w:val="false"/>
          <w:bCs w:val="false"/>
          <w:sz w:val="22"/>
          <w:szCs w:val="22"/>
        </w:rPr>
        <w:t xml:space="preserve">Denda administratif hingga 2% dari pendapatan tahunan perusahaan</w:t>
      </w:r>
    </w:p>
    <w:p>
      <w:pPr>
        <w:spacing w:after="80" w:before="120"/>
      </w:pPr>
      <w:r>
        <w:rPr>
          <w:rFonts w:ascii="Arial" w:cs="Arial" w:eastAsia="Arial" w:hAnsi="Arial"/>
          <w:sz w:val="22"/>
          <w:szCs w:val="22"/>
        </w:rPr>
        <w:t xml:space="preserve">Sebagai perusahaan asuransi jiwa dengan nasabah dalam jumlah besar, denda 2% dari pendapatan tahunan dapat bernilai sangat material. Selain itu, penghentian kegiatan pemrosesan data dapat mengakibatkan terhentinya operasional bisnis secara signifikan.</w:t>
      </w:r>
    </w:p>
    <w:p>
      <w:pPr>
        <w:pStyle w:val="Heading2"/>
      </w:pPr>
      <w:r>
        <w:t xml:space="preserve">4.2  Risiko Sanksi Pidana</w:t>
      </w:r>
    </w:p>
    <w:p>
      <w:pPr>
        <w:spacing w:after="80"/>
      </w:pPr>
      <w:r>
        <w:rPr>
          <w:rFonts w:ascii="Arial" w:cs="Arial" w:eastAsia="Arial" w:hAnsi="Arial"/>
          <w:sz w:val="22"/>
          <w:szCs w:val="22"/>
        </w:rPr>
        <w:t xml:space="preserve">UU PDP juga mengatur sanksi pidana bagi pelanggaran tertentu. Ketidakjelasan struktur DPO dan tidak adanya prosedur breach notification dapat memperburuk posisi hukum perusahaan apabila terjadi kebocoran data.</w:t>
      </w:r>
    </w:p>
    <w:p>
      <w:pPr>
        <w:pStyle w:val="Heading2"/>
      </w:pPr>
      <w:r>
        <w:t xml:space="preserve">4.3  Risiko Reputasi</w:t>
      </w:r>
    </w:p>
    <w:p>
      <w:pPr>
        <w:spacing w:after="80"/>
      </w:pPr>
      <w:r>
        <w:rPr>
          <w:rFonts w:ascii="Arial" w:cs="Arial" w:eastAsia="Arial" w:hAnsi="Arial"/>
          <w:sz w:val="22"/>
          <w:szCs w:val="22"/>
        </w:rPr>
        <w:t xml:space="preserve">Industri asuransi memproses data pribadi yang bersifat spesifik (data kesehatan, data keuangan). Kebocoran atau penyalahgunaan data nasabah akan berdampak sangat serius terhadap kepercayaan nasabah dan reputasi perusahaan di hadapan OJK.</w:t>
      </w:r>
    </w:p>
    <w:p>
      <w:pPr>
        <w:pStyle w:val="Heading2"/>
      </w:pPr>
      <w:r>
        <w:t xml:space="preserve">4.4  Risiko Regulasi OJK</w:t>
      </w:r>
    </w:p>
    <w:p>
      <w:pPr>
        <w:spacing w:after="80"/>
      </w:pPr>
      <w:r>
        <w:rPr>
          <w:rFonts w:ascii="Arial" w:cs="Arial" w:eastAsia="Arial" w:hAnsi="Arial"/>
          <w:sz w:val="22"/>
          <w:szCs w:val="22"/>
        </w:rPr>
        <w:t xml:space="preserve">Selain UU PDP, POJK No. 22 Tahun 2023 yang menjadi salah satu dasar hukum dalam SK ini juga memiliki persyaratan perlindungan data nasabah. Ketidakpatuhan terhadap UU PDP secara otomatis meningkatkan risiko temuan dari pemeriksaan OJK.</w:t>
      </w:r>
    </w:p>
    <w:p>
      <w:r>
        <w:br w:type="page"/>
      </w:r>
    </w:p>
    <w:p>
      <w:pPr>
        <w:pStyle w:val="Heading1"/>
      </w:pPr>
      <w:r>
        <w:t xml:space="preserve">5. REKOMENDASI PRIORITAS DAN RENCANA TINDAK LANJUT</w:t>
      </w:r>
    </w:p>
    <w:p>
      <w:pPr>
        <w:spacing w:after="80" w:before="160"/>
      </w:pPr>
      <w:r>
        <w:rPr>
          <w:rFonts w:ascii="Arial" w:cs="Arial" w:eastAsia="Arial" w:hAnsi="Arial"/>
          <w:sz w:val="22"/>
          <w:szCs w:val="22"/>
        </w:rPr>
        <w:t xml:space="preserve">Berikut adalah rekomendasi yang diurutkan berdasarkan prioritas penanganan: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880"/>
        <w:gridCol w:w="3000"/>
        <w:gridCol w:w="1500"/>
        <w:gridCol w:w="2000"/>
      </w:tblGrid>
      <w:tr>
        <w:tc>
          <w:tcPr>
            <w:tcW w:type="dxa" w:w="7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22"/>
                <w:szCs w:val="22"/>
              </w:rPr>
              <w:t xml:space="preserve">Prioritas</w:t>
            </w:r>
          </w:p>
        </w:tc>
        <w:tc>
          <w:tcPr>
            <w:tcW w:type="dxa" w:w="288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Rekomendasi</w:t>
            </w:r>
          </w:p>
        </w:tc>
        <w:tc>
          <w:tcPr>
            <w:tcW w:type="dxa" w:w="3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Tindakan Spesifik</w:t>
            </w:r>
          </w:p>
        </w:tc>
        <w:tc>
          <w:tcPr>
            <w:tcW w:type="dxa" w:w="15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Target Waktu</w:t>
            </w:r>
          </w:p>
        </w:tc>
        <w:tc>
          <w:tcPr>
            <w:tcW w:type="dxa" w:w="2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2"/>
                <w:szCs w:val="22"/>
              </w:rPr>
              <w:t xml:space="preserve">PIC</w:t>
            </w:r>
          </w:p>
        </w:tc>
      </w:tr>
      <w:tr>
        <w:tc>
          <w:tcPr>
            <w:tcW w:type="dxa" w:w="700"/>
            <w:tcBorders>
              <w:top w:val="single" w:color="D9D9D9" w:sz="4"/>
              <w:left w:val="single" w:color="D9D9D9" w:sz="4"/>
              <w:bottom w:val="single" w:color="D9D9D9" w:sz="4"/>
              <w:right w:val="single" w:color="D9D9D9" w:sz="4"/>
            </w:tcBorders>
            <w:shd w:fill="FFDCE1" w:val="clear"/>
            <w:tcMar>
              <w:top w:type="dxa" w:w="80"/>
              <w:left w:type="dxa" w:w="120"/>
              <w:bottom w:type="dxa" w:w="80"/>
              <w:right w:type="dxa" w:w="120"/>
            </w:tcMar>
            <w:vAlign w:val="top"/>
          </w:tcPr>
          <w:p>
            <w:pPr>
              <w:jc w:val="center"/>
            </w:pPr>
            <w:r>
              <w:rPr>
                <w:rFonts w:ascii="Arial" w:cs="Arial" w:eastAsia="Arial" w:hAnsi="Arial"/>
                <w:b/>
                <w:bCs/>
                <w:i w:val="false"/>
                <w:iCs w:val="false"/>
                <w:color w:val="C00000"/>
                <w:sz w:val="22"/>
                <w:szCs w:val="22"/>
              </w:rPr>
              <w:t xml:space="preserve">P1
(SEGERA)</w:t>
            </w:r>
          </w:p>
        </w:tc>
        <w:tc>
          <w:tcPr>
            <w:tcW w:type="dxa" w:w="2880"/>
            <w:tcBorders>
              <w:top w:val="single" w:color="D9D9D9" w:sz="4"/>
              <w:left w:val="single" w:color="D9D9D9" w:sz="4"/>
              <w:bottom w:val="single" w:color="D9D9D9" w:sz="4"/>
              <w:right w:val="single" w:color="D9D9D9" w:sz="4"/>
            </w:tcBorders>
            <w:shd w:fill="FFDCE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Revisi SK untuk memuat klausul independensi DPO</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Tambahkan pasal perlindungan dari pemecatan dan larangan pemberian instruksi yang mengganggu independensi DPO</w:t>
            </w:r>
          </w:p>
        </w:tc>
        <w:tc>
          <w:tcPr>
            <w:tcW w:type="dxa" w:w="15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2"/>
                <w:szCs w:val="22"/>
              </w:rPr>
              <w:t xml:space="preserve">&lt; 30 hari</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Direktur Kepatuhan &amp; Legal</w:t>
            </w:r>
          </w:p>
        </w:tc>
      </w:tr>
      <w:tr>
        <w:tc>
          <w:tcPr>
            <w:tcW w:type="dxa" w:w="700"/>
            <w:tcBorders>
              <w:top w:val="single" w:color="D9D9D9" w:sz="4"/>
              <w:left w:val="single" w:color="D9D9D9" w:sz="4"/>
              <w:bottom w:val="single" w:color="D9D9D9" w:sz="4"/>
              <w:right w:val="single" w:color="D9D9D9" w:sz="4"/>
            </w:tcBorders>
            <w:shd w:fill="FFDCE1" w:val="clear"/>
            <w:tcMar>
              <w:top w:type="dxa" w:w="80"/>
              <w:left w:type="dxa" w:w="120"/>
              <w:bottom w:type="dxa" w:w="80"/>
              <w:right w:type="dxa" w:w="120"/>
            </w:tcMar>
            <w:vAlign w:val="top"/>
          </w:tcPr>
          <w:p>
            <w:pPr>
              <w:jc w:val="center"/>
            </w:pPr>
            <w:r>
              <w:rPr>
                <w:rFonts w:ascii="Arial" w:cs="Arial" w:eastAsia="Arial" w:hAnsi="Arial"/>
                <w:b/>
                <w:bCs/>
                <w:i w:val="false"/>
                <w:iCs w:val="false"/>
                <w:color w:val="C00000"/>
                <w:sz w:val="22"/>
                <w:szCs w:val="22"/>
              </w:rPr>
              <w:t xml:space="preserve">P1
(SEGERA)</w:t>
            </w:r>
          </w:p>
        </w:tc>
        <w:tc>
          <w:tcPr>
            <w:tcW w:type="dxa" w:w="2880"/>
            <w:tcBorders>
              <w:top w:val="single" w:color="D9D9D9" w:sz="4"/>
              <w:left w:val="single" w:color="D9D9D9" w:sz="4"/>
              <w:bottom w:val="single" w:color="D9D9D9" w:sz="4"/>
              <w:right w:val="single" w:color="D9D9D9" w:sz="4"/>
            </w:tcBorders>
            <w:shd w:fill="FFDCE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Tambahkan prosedur Breach Notification ke dalam SK atau lampiran terpisah</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Buat SOP breach response: deteksi, investigasi, notifikasi Lembaga PDP (14 hari kerja), notifikasi subjek data</w:t>
            </w:r>
          </w:p>
        </w:tc>
        <w:tc>
          <w:tcPr>
            <w:tcW w:type="dxa" w:w="15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2"/>
                <w:szCs w:val="22"/>
              </w:rPr>
              <w:t xml:space="preserve">&lt; 30 hari</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DPO (Ketua) &amp; Tim IT Security</w:t>
            </w:r>
          </w:p>
        </w:tc>
      </w:tr>
      <w:tr>
        <w:tc>
          <w:tcPr>
            <w:tcW w:type="dxa" w:w="7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vAlign w:val="top"/>
          </w:tcPr>
          <w:p>
            <w:pPr>
              <w:jc w:val="center"/>
            </w:pPr>
            <w:r>
              <w:rPr>
                <w:rFonts w:ascii="Arial" w:cs="Arial" w:eastAsia="Arial" w:hAnsi="Arial"/>
                <w:b/>
                <w:bCs/>
                <w:i w:val="false"/>
                <w:iCs w:val="false"/>
                <w:color w:val="ED7D31"/>
                <w:sz w:val="22"/>
                <w:szCs w:val="22"/>
              </w:rPr>
              <w:t xml:space="preserve">P2
(PENTING)</w:t>
            </w:r>
          </w:p>
        </w:tc>
        <w:tc>
          <w:tcPr>
            <w:tcW w:type="dxa" w:w="288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Verifikasi dan dokumentasi kualifikasi seluruh Petugas PDP</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Buat matriks kualifikasi DPO, laksanakan pelatihan/sertifikasi PDP bagi anggota yang belum memiliki kompetensi cukup</w:t>
            </w:r>
          </w:p>
        </w:tc>
        <w:tc>
          <w:tcPr>
            <w:tcW w:type="dxa" w:w="15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2"/>
                <w:szCs w:val="22"/>
              </w:rPr>
              <w:t xml:space="preserve">&lt; 60 hari</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HR &amp; DPO (Ketua)</w:t>
            </w:r>
          </w:p>
        </w:tc>
      </w:tr>
      <w:tr>
        <w:tc>
          <w:tcPr>
            <w:tcW w:type="dxa" w:w="7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vAlign w:val="top"/>
          </w:tcPr>
          <w:p>
            <w:pPr>
              <w:jc w:val="center"/>
            </w:pPr>
            <w:r>
              <w:rPr>
                <w:rFonts w:ascii="Arial" w:cs="Arial" w:eastAsia="Arial" w:hAnsi="Arial"/>
                <w:b/>
                <w:bCs/>
                <w:i w:val="false"/>
                <w:iCs w:val="false"/>
                <w:color w:val="ED7D31"/>
                <w:sz w:val="22"/>
                <w:szCs w:val="22"/>
              </w:rPr>
              <w:t xml:space="preserve">P2
(PENTING)</w:t>
            </w:r>
          </w:p>
        </w:tc>
        <w:tc>
          <w:tcPr>
            <w:tcW w:type="dxa" w:w="288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Atur jaminan sumber daya dan akses DPO secara formal</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Tambahkan klausul akses informasi, anggaran operasional DPO, dan hak hadir dalam rapat pemrosesan data</w:t>
            </w:r>
          </w:p>
        </w:tc>
        <w:tc>
          <w:tcPr>
            <w:tcW w:type="dxa" w:w="15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2"/>
                <w:szCs w:val="22"/>
              </w:rPr>
              <w:t xml:space="preserve">&lt; 60 hari</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CTIO &amp; Direktur Kepatuhan</w:t>
            </w:r>
          </w:p>
        </w:tc>
      </w:tr>
      <w:tr>
        <w:tc>
          <w:tcPr>
            <w:tcW w:type="dxa" w:w="7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pPr>
              <w:jc w:val="center"/>
            </w:pPr>
            <w:r>
              <w:rPr>
                <w:rFonts w:ascii="Arial" w:cs="Arial" w:eastAsia="Arial" w:hAnsi="Arial"/>
                <w:b/>
                <w:bCs/>
                <w:i w:val="false"/>
                <w:iCs w:val="false"/>
                <w:color w:val="7A7A00"/>
                <w:sz w:val="22"/>
                <w:szCs w:val="22"/>
              </w:rPr>
              <w:t xml:space="preserve">P3
(PERLU)</w:t>
            </w:r>
          </w:p>
        </w:tc>
        <w:tc>
          <w:tcPr>
            <w:tcW w:type="dxa" w:w="288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Tetapkan kontak point resmi DPO ke Lembaga PDP</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Daftarkan DPO ke Lembaga PDP saat terbentuk; siapkan kontak DPO yang dapat dihubungi publik/regulator</w:t>
            </w:r>
          </w:p>
        </w:tc>
        <w:tc>
          <w:tcPr>
            <w:tcW w:type="dxa" w:w="15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2"/>
                <w:szCs w:val="22"/>
              </w:rPr>
              <w:t xml:space="preserve">&lt; 90 hari</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DPO &amp; Legal</w:t>
            </w:r>
          </w:p>
        </w:tc>
      </w:tr>
      <w:tr>
        <w:tc>
          <w:tcPr>
            <w:tcW w:type="dxa" w:w="7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pPr>
              <w:jc w:val="center"/>
            </w:pPr>
            <w:r>
              <w:rPr>
                <w:rFonts w:ascii="Arial" w:cs="Arial" w:eastAsia="Arial" w:hAnsi="Arial"/>
                <w:b/>
                <w:bCs/>
                <w:i w:val="false"/>
                <w:iCs w:val="false"/>
                <w:color w:val="7A7A00"/>
                <w:sz w:val="22"/>
                <w:szCs w:val="22"/>
              </w:rPr>
              <w:t xml:space="preserve">P3
(PERLU)</w:t>
            </w:r>
          </w:p>
        </w:tc>
        <w:tc>
          <w:tcPr>
            <w:tcW w:type="dxa" w:w="288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Spesifikasikan periode tinjauan SK dan kewajiban DPIA</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Tetapkan periode tinjauan tahunan; buat panduan DPIA wajib untuk pemrosesan data berisiko tinggi</w:t>
            </w:r>
          </w:p>
        </w:tc>
        <w:tc>
          <w:tcPr>
            <w:tcW w:type="dxa" w:w="15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2"/>
                <w:szCs w:val="22"/>
              </w:rPr>
              <w:t xml:space="preserve">&lt; 90 hari</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2"/>
                <w:szCs w:val="22"/>
              </w:rPr>
              <w:t xml:space="preserve">DPO &amp; Legal</w:t>
            </w:r>
          </w:p>
        </w:tc>
      </w:tr>
    </w:tbl>
    <w:p>
      <w:r>
        <w:br w:type="page"/>
      </w:r>
    </w:p>
    <w:p>
      <w:pPr>
        <w:pStyle w:val="Heading1"/>
      </w:pPr>
      <w:r>
        <w:t xml:space="preserve">6. KLAUSUL TAMBAHAN YANG DIREKOMENDASIKAN</w:t>
      </w:r>
    </w:p>
    <w:p>
      <w:pPr>
        <w:spacing w:after="80" w:before="160"/>
      </w:pPr>
      <w:r>
        <w:rPr>
          <w:rFonts w:ascii="Arial" w:cs="Arial" w:eastAsia="Arial" w:hAnsi="Arial"/>
          <w:sz w:val="22"/>
          <w:szCs w:val="22"/>
        </w:rPr>
        <w:t xml:space="preserve">Auditor merekomendasikan penambahan klausul-klausul berikut ke dalam revisi SK:</w:t>
      </w:r>
    </w:p>
    <w:p>
      <w:pPr>
        <w:pStyle w:val="Heading2"/>
      </w:pPr>
      <w:r>
        <w:t xml:space="preserve">6.1  Klausul Kualifikasi (Menggantikan/Menambah Konsideran)</w:t>
      </w:r>
    </w:p>
    <w:p>
      <w:pPr>
        <w:pBdr>
          <w:left w:val="single" w:color="2E75B6" w:sz="8" w:space="8"/>
        </w:pBdr>
        <w:shd w:fill="F2F2F2" w:val="clear"/>
        <w:spacing w:after="120"/>
        <w:ind w:left="200"/>
      </w:pPr>
      <w:r>
        <w:rPr>
          <w:rFonts w:ascii="Arial" w:cs="Arial" w:eastAsia="Arial" w:hAnsi="Arial"/>
          <w:i/>
          <w:iCs/>
          <w:sz w:val="22"/>
          <w:szCs w:val="22"/>
        </w:rPr>
        <w:t xml:space="preserve">"Bahwa penunjukan Petugas Perlindungan Data Pribadi sebagaimana dimaksud dalam SK ini didasarkan atas profesionalitas, pengetahuan hukum pelindungan data pribadi, dan kemampuan teknis untuk menjalankan tugas sebagaimana dipersyaratkan Pasal 54 ayat (1) Undang-Undang Nomor 27 Tahun 2022."</w:t>
      </w:r>
    </w:p>
    <w:p>
      <w:pPr>
        <w:pStyle w:val="Heading2"/>
      </w:pPr>
      <w:r>
        <w:t xml:space="preserve">6.2  Klausul Independensi dan Perlindungan DPO (Klausul Baru)</w:t>
      </w:r>
    </w:p>
    <w:p>
      <w:pPr>
        <w:pBdr>
          <w:left w:val="single" w:color="2E75B6" w:sz="8" w:space="8"/>
        </w:pBdr>
        <w:shd w:fill="F2F2F2" w:val="clear"/>
        <w:spacing w:after="120"/>
        <w:ind w:left="200"/>
      </w:pPr>
      <w:r>
        <w:rPr>
          <w:rFonts w:ascii="Arial" w:cs="Arial" w:eastAsia="Arial" w:hAnsi="Arial"/>
          <w:i/>
          <w:iCs/>
          <w:sz w:val="22"/>
          <w:szCs w:val="22"/>
        </w:rPr>
        <w:t xml:space="preserve">"Petugas Perlindungan Data Pribadi dalam menjalankan tugasnya bertindak secara independen dan tidak boleh menerima instruksi dari pihak manapun di dalam Perusahaan terkait pelaksanaan fungsi pengawasan pelindungan data pribadi. Petugas Perlindungan Data Pribadi tidak dapat diberhentikan dari jabatannya dalam SK ini, diturunkan jabatannya, atau dikenai sanksi dalam bentuk apapun sebagai konsekuensi dari pelaksanaan tugas dan kewenangan berdasarkan Surat Keputusan ini."</w:t>
      </w:r>
    </w:p>
    <w:p>
      <w:pPr>
        <w:pStyle w:val="Heading2"/>
      </w:pPr>
      <w:r>
        <w:t xml:space="preserve">6.3  Klausul Sumber Daya dan Akses (Klausul Baru)</w:t>
      </w:r>
    </w:p>
    <w:p>
      <w:pPr>
        <w:pBdr>
          <w:left w:val="single" w:color="2E75B6" w:sz="8" w:space="8"/>
        </w:pBdr>
        <w:shd w:fill="F2F2F2" w:val="clear"/>
        <w:spacing w:after="120"/>
        <w:ind w:left="200"/>
      </w:pPr>
      <w:r>
        <w:rPr>
          <w:rFonts w:ascii="Arial" w:cs="Arial" w:eastAsia="Arial" w:hAnsi="Arial"/>
          <w:i/>
          <w:iCs/>
          <w:sz w:val="22"/>
          <w:szCs w:val="22"/>
        </w:rPr>
        <w:t xml:space="preserve">"Perusahaan wajib menyediakan sumber daya yang memadai kepada Petugas Perlindungan Data Pribadi, termasuk namun tidak terbatas pada: (a) akses penuh kepada seluruh sistem, basis data, dan dokumen pemrosesan data pribadi; (b) hak untuk berpartisipasi dalam rapat dan proses pengambilan keputusan yang berkaitan dengan pemrosesan data pribadi; dan (c) anggaran operasional yang memadai untuk pelaksanaan tugas, termasuk pendidikan dan pelatihan berkelanjutan di bidang pelindungan data pribadi."</w:t>
      </w:r>
    </w:p>
    <w:p>
      <w:pPr>
        <w:pStyle w:val="Heading2"/>
      </w:pPr>
      <w:r>
        <w:t xml:space="preserve">6.4  Klausul Pelaporan Pelanggaran Data (Klausul Baru)</w:t>
      </w:r>
    </w:p>
    <w:p>
      <w:pPr>
        <w:pBdr>
          <w:left w:val="single" w:color="2E75B6" w:sz="8" w:space="8"/>
        </w:pBdr>
        <w:shd w:fill="F2F2F2" w:val="clear"/>
        <w:spacing w:after="120"/>
        <w:ind w:left="200"/>
      </w:pPr>
      <w:r>
        <w:rPr>
          <w:rFonts w:ascii="Arial" w:cs="Arial" w:eastAsia="Arial" w:hAnsi="Arial"/>
          <w:i/>
          <w:iCs/>
          <w:sz w:val="22"/>
          <w:szCs w:val="22"/>
        </w:rPr>
        <w:t xml:space="preserve">"Dalam hal terjadi kegagalan pelindungan data pribadi (pelanggaran data / data breach), Petugas Perlindungan Data Pribadi wajib: (a) dinotifikasi oleh unit terkait paling lambat 1 x 24 jam sejak terdeteksinya pelanggaran; (b) memimpin investigasi dan penilaian dampak atas pelanggaran tersebut; (c) melaporkan kepada Lembaga Pengawas Pelindungan Data Pribadi paling lambat 14 (empat belas) hari kerja sejak diketahuinya pelanggaran; dan (d) melakukan notifikasi kepada Subjek Data yang terdampak apabila pelanggaran berpotensi menimbulkan risiko bagi Subjek Data."</w:t>
      </w:r>
    </w:p>
    <w:p>
      <w:r>
        <w:br w:type="page"/>
      </w:r>
    </w:p>
    <w:p>
      <w:pPr>
        <w:pStyle w:val="Heading1"/>
      </w:pPr>
      <w:r>
        <w:t xml:space="preserve">7. KESIMPULAN</w:t>
      </w:r>
    </w:p>
    <w:p>
      <w:pPr>
        <w:spacing w:after="120" w:before="160"/>
      </w:pPr>
      <w:r>
        <w:rPr>
          <w:rFonts w:ascii="Arial" w:cs="Arial" w:eastAsia="Arial" w:hAnsi="Arial"/>
          <w:sz w:val="22"/>
          <w:szCs w:val="22"/>
        </w:rPr>
        <w:t xml:space="preserve">SK Penunjukan Petugas Perlindungan Data Pribadi PT Equity Life Indonesia Nomor XXX/HCD-SK/III/2026 merupakan langkah positif dalam implementasi UU PDP. Namun demikian, sebagai auditor yang melakukan penilaian secara ketat terhadap kepatuhan UU PDP, terdapat </w:t>
      </w:r>
      <w:r>
        <w:rPr>
          <w:rFonts w:ascii="Arial" w:cs="Arial" w:eastAsia="Arial" w:hAnsi="Arial"/>
          <w:b/>
          <w:bCs/>
          <w:color w:val="C00000"/>
          <w:sz w:val="22"/>
          <w:szCs w:val="22"/>
        </w:rPr>
        <w:t xml:space="preserve">5 (lima) temuan KRITIS dan 3 (tiga) temuan MAYOR</w:t>
      </w:r>
      <w:r>
        <w:rPr>
          <w:rFonts w:ascii="Arial" w:cs="Arial" w:eastAsia="Arial" w:hAnsi="Arial"/>
          <w:sz w:val="22"/>
          <w:szCs w:val="22"/>
        </w:rPr>
        <w:t xml:space="preserve"> yang harus segera ditindaklanjuti agar SK ini dapat dinyatakan memenuhi standar kepatuhan UU PDP secara komprehensif.</w:t>
      </w:r>
    </w:p>
    <w:p>
      <w:pPr>
        <w:spacing w:after="80"/>
      </w:pPr>
      <w:r>
        <w:rPr>
          <w:rFonts w:ascii="Arial" w:cs="Arial" w:eastAsia="Arial" w:hAnsi="Arial"/>
          <w:sz w:val="22"/>
          <w:szCs w:val="22"/>
        </w:rPr>
        <w:t xml:space="preserve">Temuan yang paling mendesak adalah:</w:t>
      </w:r>
    </w:p>
    <w:p>
      <w:pPr>
        <w:pStyle w:val="ListParagraph"/>
        <w:numPr>
          <w:ilvl w:val="0"/>
          <w:numId w:val="2"/>
        </w:numPr>
        <w:spacing w:after="80"/>
      </w:pPr>
      <w:r>
        <w:rPr>
          <w:rFonts w:ascii="Arial" w:cs="Arial" w:eastAsia="Arial" w:hAnsi="Arial"/>
          <w:b w:val="false"/>
          <w:bCs w:val="false"/>
          <w:sz w:val="22"/>
          <w:szCs w:val="22"/>
        </w:rPr>
        <w:t xml:space="preserve">Tidak adanya jaminan independensi struktural bagi DPO (F-02)</w:t>
      </w:r>
    </w:p>
    <w:p>
      <w:pPr>
        <w:pStyle w:val="ListParagraph"/>
        <w:numPr>
          <w:ilvl w:val="0"/>
          <w:numId w:val="2"/>
        </w:numPr>
        <w:spacing w:after="80"/>
      </w:pPr>
      <w:r>
        <w:rPr>
          <w:rFonts w:ascii="Arial" w:cs="Arial" w:eastAsia="Arial" w:hAnsi="Arial"/>
          <w:b w:val="false"/>
          <w:bCs w:val="false"/>
          <w:sz w:val="22"/>
          <w:szCs w:val="22"/>
        </w:rPr>
        <w:t xml:space="preserve">Tidak adanya perlindungan DPO dari pemecatan/sanksi (F-03)</w:t>
      </w:r>
    </w:p>
    <w:p>
      <w:pPr>
        <w:pStyle w:val="ListParagraph"/>
        <w:numPr>
          <w:ilvl w:val="0"/>
          <w:numId w:val="2"/>
        </w:numPr>
        <w:spacing w:after="80"/>
      </w:pPr>
      <w:r>
        <w:rPr>
          <w:rFonts w:ascii="Arial" w:cs="Arial" w:eastAsia="Arial" w:hAnsi="Arial"/>
          <w:b w:val="false"/>
          <w:bCs w:val="false"/>
          <w:sz w:val="22"/>
          <w:szCs w:val="22"/>
        </w:rPr>
        <w:t xml:space="preserve">Tidak adanya prosedur breach notification (F-06)</w:t>
      </w:r>
    </w:p>
    <w:p>
      <w:pPr>
        <w:pStyle w:val="ListParagraph"/>
        <w:numPr>
          <w:ilvl w:val="0"/>
          <w:numId w:val="2"/>
        </w:numPr>
        <w:spacing w:after="80"/>
      </w:pPr>
      <w:r>
        <w:rPr>
          <w:rFonts w:ascii="Arial" w:cs="Arial" w:eastAsia="Arial" w:hAnsi="Arial"/>
          <w:b w:val="false"/>
          <w:bCs w:val="false"/>
          <w:sz w:val="22"/>
          <w:szCs w:val="22"/>
        </w:rPr>
        <w:t xml:space="preserve">Tidak adanya jaminan akses informasi dan sumber daya DPO (F-04)</w:t>
      </w:r>
    </w:p>
    <w:p>
      <w:pPr>
        <w:pStyle w:val="ListParagraph"/>
        <w:numPr>
          <w:ilvl w:val="0"/>
          <w:numId w:val="2"/>
        </w:numPr>
        <w:spacing w:after="80"/>
      </w:pPr>
      <w:r>
        <w:rPr>
          <w:rFonts w:ascii="Arial" w:cs="Arial" w:eastAsia="Arial" w:hAnsi="Arial"/>
          <w:b w:val="false"/>
          <w:bCs w:val="false"/>
          <w:sz w:val="22"/>
          <w:szCs w:val="22"/>
        </w:rPr>
        <w:t xml:space="preserve">Tidak adanya mekanisme koordinasi dengan Lembaga Pengawas PDP (F-05)</w:t>
      </w:r>
    </w:p>
    <w:p>
      <w:pPr>
        <w:spacing w:after="80" w:before="160"/>
      </w:pPr>
      <w:r>
        <w:rPr>
          <w:rFonts w:ascii="Arial" w:cs="Arial" w:eastAsia="Arial" w:hAnsi="Arial"/>
          <w:sz w:val="22"/>
          <w:szCs w:val="22"/>
        </w:rPr>
        <w:t xml:space="preserve">Apabila rekomendasi prioritas P1 dan P2 ditindaklanjuti dalam waktu 60 hari, perusahaan akan berada pada posisi kepatuhan yang jauh lebih baik dan dapat memitigasi risiko sanksi administratif berdasarkan UU PDP.</w:t>
      </w:r>
    </w:p>
    <w:p>
      <w:pPr>
        <w:shd w:fill="1F3864" w:val="clear"/>
        <w:spacing w:after="80" w:before="200"/>
        <w:ind w:left="200"/>
      </w:pPr>
      <w:r>
        <w:rPr>
          <w:rFonts w:ascii="Arial" w:cs="Arial" w:eastAsia="Arial" w:hAnsi="Arial"/>
          <w:b/>
          <w:bCs/>
          <w:color w:val="FFFFFF"/>
          <w:sz w:val="22"/>
          <w:szCs w:val="22"/>
        </w:rPr>
        <w:t xml:space="preserve">Dokumen ini diterbitkan sebagai laporan audit independen dan bersifat rahasia.</w:t>
      </w:r>
    </w:p>
    <w:p>
      <w:pPr>
        <w:shd w:fill="1F3864" w:val="clear"/>
        <w:spacing w:after="200"/>
        <w:ind w:left="200"/>
      </w:pPr>
      <w:r>
        <w:rPr>
          <w:rFonts w:ascii="Arial" w:cs="Arial" w:eastAsia="Arial" w:hAnsi="Arial"/>
          <w:color w:val="F2F2F2"/>
          <w:sz w:val="22"/>
          <w:szCs w:val="22"/>
        </w:rPr>
        <w:t xml:space="preserve">Jakarta, 25 Maret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10080"/>
      </w:tabs>
    </w:pPr>
    <w:r>
      <w:rPr>
        <w:rFonts w:ascii="Arial" w:cs="Arial" w:eastAsia="Arial" w:hAnsi="Arial"/>
        <w:i/>
        <w:iCs/>
        <w:color w:val="888888"/>
        <w:sz w:val="18"/>
        <w:szCs w:val="18"/>
      </w:rPr>
      <w:t xml:space="preserve">Rahasia &amp; Terbatas - Untuk Internal Perusahaan</w:t>
    </w:r>
    <w:r>
      <w:rPr>
        <w:rFonts w:ascii="Arial" w:cs="Arial" w:eastAsia="Arial" w:hAnsi="Arial"/>
        <w:color w:val="888888"/>
        <w:sz w:val="18"/>
        <w:szCs w:val="18"/>
      </w:rPr>
      <w:t xml:space="preserve">	Halaman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10080"/>
      </w:tabs>
    </w:pPr>
    <w:r>
      <w:rPr>
        <w:rFonts w:ascii="Arial" w:cs="Arial" w:eastAsia="Arial" w:hAnsi="Arial"/>
        <w:b/>
        <w:bCs/>
        <w:color w:val="1F3864"/>
        <w:sz w:val="18"/>
        <w:szCs w:val="18"/>
      </w:rPr>
      <w:t xml:space="preserve">LAPORAN AUDIT REVIEW</w:t>
    </w:r>
    <w:r>
      <w:rPr>
        <w:rFonts w:ascii="Arial" w:cs="Arial" w:eastAsia="Arial" w:hAnsi="Arial"/>
        <w:color w:val="666666"/>
        <w:sz w:val="18"/>
        <w:szCs w:val="18"/>
      </w:rPr>
      <w:t xml:space="preserve">	SK Petugas Perlindungan Data Pribadi (DPO) - PT Equity Life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3864" w:val="clear"/>
      <w:spacing w:after="160" w:before="320"/>
      <w:ind w:left="200"/>
      <w:outlineLvl w:val="0"/>
    </w:pPr>
    <w:rPr>
      <w:rFonts w:ascii="Arial" w:cs="Arial" w:eastAsia="Arial" w:hAnsi="Arial"/>
      <w:b/>
      <w:bCs/>
      <w:color w:val="FFFFFF"/>
      <w:sz w:val="30"/>
      <w:szCs w:val="30"/>
    </w:rPr>
  </w:style>
  <w:style w:type="paragraph" w:styleId="Heading2">
    <w:name w:val="Heading 2"/>
    <w:basedOn w:val="Normal"/>
    <w:next w:val="Normal"/>
    <w:qFormat/>
    <w:pPr>
      <w:pBdr>
        <w:bottom w:val="single" w:color="2E75B6" w:sz="4" w:space="2"/>
      </w:pBd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2026-03-25T00:22:41.281Z</dcterms:created>
  <dcterms:modified xsi:type="dcterms:W3CDTF">2026-03-25T00:22:41.282Z</dcterms:modified>
</cp:coreProperties>
</file>

<file path=docProps/custom.xml><?xml version="1.0" encoding="utf-8"?>
<Properties xmlns="http://schemas.openxmlformats.org/officeDocument/2006/custom-properties" xmlns:vt="http://schemas.openxmlformats.org/officeDocument/2006/docPropsVTypes"/>
</file>