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rPr>
          <w:rFonts w:ascii="Arial" w:cs="Arial" w:eastAsia="Arial" w:hAnsi="Arial"/>
          <w:sz w:val="20"/>
          <w:szCs w:val="20"/>
        </w:rPr>
        <w:t xml:space="preserve"/>
      </w:r>
    </w:p>
    <w:p>
      <w:pPr>
        <w:spacing w:after="40" w:before="0"/>
        <w:jc w:val="center"/>
      </w:pPr>
      <w:r>
        <w:rPr>
          <w:rFonts w:ascii="Arial" w:cs="Arial" w:eastAsia="Arial" w:hAnsi="Arial"/>
          <w:b/>
          <w:bCs/>
          <w:color w:val="1A3A5C"/>
          <w:sz w:val="28"/>
          <w:szCs w:val="28"/>
        </w:rPr>
        <w:t xml:space="preserve">PT EQUITY LIFE INDONESIA</w:t>
      </w:r>
    </w:p>
    <w:p>
      <w:pPr>
        <w:spacing w:after="80" w:before="0"/>
        <w:jc w:val="center"/>
      </w:pPr>
      <w:r>
        <w:rPr>
          <w:rFonts w:ascii="Arial" w:cs="Arial" w:eastAsia="Arial" w:hAnsi="Arial"/>
          <w:i/>
          <w:iCs/>
          <w:color w:val="2E5FA3"/>
          <w:sz w:val="20"/>
          <w:szCs w:val="20"/>
        </w:rPr>
        <w:t xml:space="preserve">Life | Health | Pension</w:t>
      </w:r>
    </w:p>
    <w:p>
      <w:pPr>
        <w:pBdr>
          <w:bottom w:val="single" w:color="2E5FA3" w:sz="6" w:space="4"/>
        </w:pBdr>
        <w:spacing w:after="100" w:before="100"/>
      </w:pPr>
      <w:r>
        <w:rPr>
          <w:rFonts w:ascii="Arial" w:cs="Arial" w:eastAsia="Arial" w:hAnsi="Arial"/>
          <w:sz w:val="20"/>
          <w:szCs w:val="20"/>
        </w:rPr>
        <w:t xml:space="preserve"/>
      </w:r>
    </w:p>
    <w:p>
      <w:pPr>
        <w:spacing w:after="40" w:before="160"/>
        <w:jc w:val="center"/>
      </w:pPr>
      <w:r>
        <w:rPr>
          <w:rFonts w:ascii="Arial" w:cs="Arial" w:eastAsia="Arial" w:hAnsi="Arial"/>
          <w:b/>
          <w:bCs/>
          <w:caps/>
          <w:color w:val="1A3A5C"/>
          <w:sz w:val="32"/>
          <w:szCs w:val="32"/>
        </w:rPr>
        <w:t xml:space="preserve">DATA PROTECTION IMPACT ASSESSMENT (DPIA)</w:t>
      </w:r>
    </w:p>
    <w:p>
      <w:pPr>
        <w:spacing w:after="40" w:before="0"/>
        <w:jc w:val="center"/>
      </w:pPr>
      <w:r>
        <w:rPr>
          <w:rFonts w:ascii="Arial" w:cs="Arial" w:eastAsia="Arial" w:hAnsi="Arial"/>
          <w:i/>
          <w:iCs/>
          <w:color w:val="333333"/>
          <w:sz w:val="22"/>
          <w:szCs w:val="22"/>
        </w:rPr>
        <w:t xml:space="preserve">Penilaian Dampak Pelindungan Data Pribadi</w:t>
      </w:r>
    </w:p>
    <w:p>
      <w:pPr>
        <w:spacing w:after="200" w:before="0"/>
        <w:jc w:val="center"/>
      </w:pPr>
      <w:r>
        <w:rPr>
          <w:rFonts w:ascii="Arial" w:cs="Arial" w:eastAsia="Arial" w:hAnsi="Arial"/>
          <w:b/>
          <w:bCs/>
          <w:color w:val="2E5FA3"/>
          <w:sz w:val="24"/>
          <w:szCs w:val="24"/>
        </w:rPr>
        <w:t xml:space="preserve">Transfer Data Pribadi Nasabah kepada Reasuradur, Mitra Bancassurance, dan Rumah Sakit Provider</w:t>
      </w:r>
    </w:p>
    <w:p>
      <w:pPr>
        <w:pBdr>
          <w:bottom w:val="single" w:color="2E5FA3" w:sz="6" w:space="4"/>
        </w:pBdr>
        <w:spacing w:after="100" w:before="10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9026"/>
            <w:gridSpan w:val="2"/>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INFORMASI DOKUMEN</w:t>
            </w:r>
          </w:p>
        </w:tc>
      </w:tr>
      <w:tr>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Nomor Dokumen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DPIA-ELI-OPS-001/2024</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Versi</w:t>
            </w:r>
          </w:p>
        </w:tc>
        <w:tc>
          <w:tcPr>
            <w:tcW w:type="dxa" w:w="60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1.0</w:t>
            </w:r>
          </w:p>
        </w:tc>
      </w:tr>
      <w:tr>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Tanggal Penyusunan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15 September 2024</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Tanggal Berlaku</w:t>
            </w:r>
          </w:p>
        </w:tc>
        <w:tc>
          <w:tcPr>
            <w:tcW w:type="dxa" w:w="60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1 Oktober 2024</w:t>
            </w:r>
          </w:p>
        </w:tc>
      </w:tr>
      <w:tr>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Tanggal Review</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1 Oktober 2025</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Disusun oleh</w:t>
            </w:r>
          </w:p>
        </w:tc>
        <w:tc>
          <w:tcPr>
            <w:tcW w:type="dxa" w:w="60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Noor Setiadi — Lead DPO / IT</w:t>
            </w:r>
          </w:p>
        </w:tc>
      </w:tr>
      <w:tr>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Diperiksa oleh</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Muhammad David Franico — Legal &amp; Compliance</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Disetujui oleh</w:t>
            </w:r>
          </w:p>
        </w:tc>
        <w:tc>
          <w:tcPr>
            <w:tcW w:type="dxa" w:w="60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Direktur Kepatuhan</w:t>
            </w:r>
          </w:p>
        </w:tc>
      </w:tr>
      <w:tr>
        <w:tc>
          <w:tcPr>
            <w:tcW w:type="dxa" w:w="3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Klasifikasi</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CONFIDENTIAL — Internal Use Only</w:t>
            </w:r>
          </w:p>
        </w:tc>
      </w:tr>
      <w:tr>
        <w:tc>
          <w:tcPr>
            <w:tcW w:type="dxa" w:w="3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Status</w:t>
            </w:r>
          </w:p>
        </w:tc>
        <w:tc>
          <w:tcPr>
            <w:tcW w:type="dxa" w:w="60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FINAL</w:t>
            </w:r>
          </w:p>
        </w:tc>
      </w:tr>
    </w:tbl>
    <w:p>
      <w:pPr>
        <w:spacing w:after="120" w:before="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RINGKASAN EKSEKUTIF</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Nama Proses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Transfer Data Pribadi Nasabah kepada Reasuradur, Mitra Bancassurance, dan Rumah Sakit Provider dalam Rangka Pengelolaan Polis, Reasuransi, dan Klaim</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Unit Pemilik Proses</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Operation Directorate — Reinsurance Operation, Claim Individual, Claim Institutional</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Unit Terkait</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Digital Solution Development (Data Management), Legal &amp; Compliance, Risk Management, Client Services, Bank Partnership &amp; AJK, Employee Benefit</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Kategori Data</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pribadi biasa + data pribadi yang bersifat sensitif (data kesehatan, data keuangan)</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Pihak Penerima Data</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(PT Reasuransi Indonesia Utama, Munich Re, Swiss Re, Hannover Re), Mitra Bancassurance (bank partner), Rumah Sakit Provider (&gt;500 RS rekanan), Broker Reasuransi</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Tingkat Risiko Awal</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TINGGI</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Tingkat Risiko Residual</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SEDANG (setelah mitigasi)</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Rekomendasi</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DISETUJUI DENGAN SYARAT — dapat dilanjutkan dengan penerapan seluruh langkah mitigasi yang ditetapkan dalam DPIA ini</w:t>
            </w:r>
          </w:p>
        </w:tc>
      </w:tr>
    </w:tbl>
    <w:p>
      <w:pPr>
        <w:spacing w:after="120" w:before="12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1. Latar Belakang dan Tujuan DPIA</w:t>
      </w:r>
    </w:p>
    <w:p>
      <w:pPr>
        <w:spacing w:after="60" w:before="60"/>
        <w:jc w:val="both"/>
      </w:pPr>
      <w:r>
        <w:rPr>
          <w:rFonts w:ascii="Arial" w:cs="Arial" w:eastAsia="Arial" w:hAnsi="Arial"/>
          <w:sz w:val="20"/>
          <w:szCs w:val="20"/>
        </w:rPr>
        <w:t xml:space="preserve">PT Equity Life Indonesia ("Perusahaan") dalam menjalankan bisnis asuransi jiwa, kesehatan, dan dana pensiun secara rutin mentransfer data pribadi nasabah kepada berbagai pihak ketiga, termasuk reasuradur domestik dan asing, mitra bancassurance, serta rumah sakit provider. Data yang ditransfer mencakup data pribadi yang bersifat sensitif — terutama data kesehatan dan rekam medis — yang mendapatkan perlindungan tertinggi di bawah Undang-Undang Nomor 27 Tahun 2022 tentang Pelindungan Data Pribadi (UU PDP).</w:t>
      </w:r>
    </w:p>
    <w:p>
      <w:pPr>
        <w:spacing w:after="40" w:before="40"/>
      </w:pPr>
      <w:r>
        <w:rPr>
          <w:rFonts w:ascii="Arial" w:cs="Arial" w:eastAsia="Arial" w:hAnsi="Arial"/>
          <w:sz w:val="20"/>
          <w:szCs w:val="20"/>
        </w:rPr>
        <w:t xml:space="preserve"/>
      </w:r>
    </w:p>
    <w:p>
      <w:pPr>
        <w:spacing w:after="60" w:before="60"/>
        <w:jc w:val="both"/>
      </w:pPr>
      <w:r>
        <w:rPr>
          <w:rFonts w:ascii="Arial" w:cs="Arial" w:eastAsia="Arial" w:hAnsi="Arial"/>
          <w:sz w:val="20"/>
          <w:szCs w:val="20"/>
        </w:rPr>
        <w:t xml:space="preserve">DPIA ini disusun untuk: (1) mengidentifikasi dan mengevaluasi risiko terhadap hak dan kebebasan subjek data akibat kegiatan transfer data tersebut; (2) memastikan bahwa pemrosesan data dilakukan secara proporsional, sah, dan dengan jaminan perlindungan yang memadai; (3) mendokumentasikan langkah-langkah mitigasi yang diperlukan sebelum atau selama kegiatan pemrosesan berlangsung; (4) memenuhi kewajiban akuntabilitas Perusahaan sebagai Pengendali Data Pribadi sebagaimana diatur dalam UU PDP Pasal 50.</w:t>
      </w:r>
    </w:p>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2. Metodologi Penilaian</w:t>
      </w:r>
    </w:p>
    <w:p>
      <w:pPr>
        <w:spacing w:after="60" w:before="60"/>
        <w:jc w:val="both"/>
      </w:pPr>
      <w:r>
        <w:rPr>
          <w:rFonts w:ascii="Arial" w:cs="Arial" w:eastAsia="Arial" w:hAnsi="Arial"/>
          <w:sz w:val="20"/>
          <w:szCs w:val="20"/>
        </w:rPr>
        <w:t xml:space="preserve">DPIA ini disusun menggunakan metodologi yang mengacu pada: (a) pedoman DPIA Komisi Nasional Pelindungan Data Pribadi; (b) GDPR Article 35 Guidelines dari European Data Protection Board (EDPB) WP29 sebagai praktik terbaik internasional yang kompatibel; (c) ISO 29134:2017 — Guidelines for Privacy Impact Assessment. Penilaian risiko menggunakan matriks dua dimensi: Kemungkinan (Rendah/Sedang/Tinggi) x Dampak (Rendah/Sedang/Tinggi), menghasilkan Level Risiko keseluruhan.</w:t>
      </w:r>
    </w:p>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3. Deskripsi Kegiatan Pemrosesan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3.1 DESKRIPSI PEMROSESAN DATA</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Tujuan Pemrosesan</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Transfer data pribadi nasabah dilakukan untuk: (1) Pelaksanaan perjanjian reasuransi atas polis yang diterbitkan; (2) Proses underwriting dan akseptasi reasuransi; (3) Pengelolaan klaim yang memerlukan data medis dan rekam kesehatan; (4) Pemenuhan kewajiban kontraktual kepada mitra distribusi (bancassurance); (5) Koordinasi layanan kesehatan dengan rumah sakit provider.</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Dasar Hukum Pemrosesan</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UU PDP No. 27/2022 Pasal 20 huruf b (pelaksanaan perjanjian) dan huruf e (pemenuhan kewajiban hukum); POJK 22/2023 tentang Pelindungan Konsumen; UU No. 40/2014 tentang Perasuransian Pasal 31 (kewajiban reasuransi); Polis asuransi yang memuat klausul persetujuan nasabah untuk pengolahan data dalam rangka layanan asuransi.</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Persetujuan Nasabah</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Nasabah memberikan persetujuan melalui klausul dalam Surat Permintaan Asuransi Jiwa (SPAJ) dan ketentuan polis yang menyatakan persetujuan atas pemrosesan data pribadi untuk tujuan pengelolaan asuransi, reasuransi, dan klaim. Persetujuan bersifat spesifik, informatif, dan dapat ditarik kembali.</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Ruang Lingkup Subjek Data</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Tertanggung (nasabah individual dan korporat), peserta program asuransi jiwa kelompok, ahli waris yang mengajukan klaim, dan karyawan perusahaan mitra (untuk produk Employee Benefit).</w:t>
            </w:r>
          </w:p>
        </w:tc>
      </w:tr>
    </w:tbl>
    <w:p>
      <w:pPr>
        <w:spacing w:after="100" w:before="10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9026"/>
            <w:gridSpan w:val="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3.2 KATEGORI DATA PRIBADI YANG DITRANSFER</w:t>
            </w:r>
          </w:p>
        </w:tc>
      </w:tr>
      <w:tr>
        <w:tc>
          <w:tcPr>
            <w:tcW w:type="dxa" w:w="2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Kategori</w:t>
            </w:r>
          </w:p>
        </w:tc>
        <w:tc>
          <w:tcPr>
            <w:tcW w:type="dxa" w:w="35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Jenis Data</w:t>
            </w:r>
          </w:p>
        </w:tc>
        <w:tc>
          <w:tcPr>
            <w:tcW w:type="dxa" w:w="3526"/>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Penerima Data</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Data Identitas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Nama lengkap, tanggal lahir, jenis kelamin, nomor KTP/paspor, NPWP, foto identitas</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Semua penerima</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Data Kontak</w:t>
            </w:r>
          </w:p>
        </w:tc>
        <w:tc>
          <w:tcPr>
            <w:tcW w:type="dxa" w:w="3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Alamat domisili, nomor telepon, email</w:t>
            </w:r>
          </w:p>
        </w:tc>
        <w:tc>
          <w:tcPr>
            <w:tcW w:type="dxa" w:w="3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Mitra bancassurance, rumah sakit provider</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Data Keuangan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Uang pertanggungan, premi, nilai polis, rekening bank untuk pembayaran klaim</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mitra bancassurance</w:t>
            </w:r>
          </w:p>
        </w:tc>
      </w:tr>
      <w:tr>
        <w:tc>
          <w:tcPr>
            <w:tcW w:type="dxa" w:w="20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bCs/>
                <w:color w:val="C0392B"/>
                <w:sz w:val="19"/>
                <w:szCs w:val="19"/>
              </w:rPr>
              <w:t xml:space="preserve">Data Kesehatan (SENSITIF)</w:t>
            </w:r>
          </w:p>
        </w:tc>
        <w:tc>
          <w:tcPr>
            <w:tcW w:type="dxa" w:w="3500"/>
            <w:tcBorders>
              <w:top w:val="single" w:color="AAAAAA" w:sz="1"/>
              <w:left w:val="single" w:color="AAAAAA" w:sz="1"/>
              <w:bottom w:val="single" w:color="AAAAAA" w:sz="1"/>
              <w:right w:val="single" w:color="AAAAAA" w:sz="1"/>
            </w:tcBorders>
            <w:shd w:fill="FEF5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Riwayat penyakit, diagnosa, rekam medis, hasil laboratorium, kondisi fisik, disabilitas, riwayat rawat inap</w:t>
            </w:r>
          </w:p>
        </w:tc>
        <w:tc>
          <w:tcPr>
            <w:tcW w:type="dxa" w:w="3526"/>
            <w:tcBorders>
              <w:top w:val="single" w:color="AAAAAA" w:sz="1"/>
              <w:left w:val="single" w:color="AAAAAA" w:sz="1"/>
              <w:bottom w:val="single" w:color="AAAAAA" w:sz="1"/>
              <w:right w:val="single" w:color="AAAAAA" w:sz="1"/>
            </w:tcBorders>
            <w:shd w:fill="FEF5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rumah sakit provider, broker reasuransi</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Data Pekerjaan</w:t>
            </w:r>
          </w:p>
        </w:tc>
        <w:tc>
          <w:tcPr>
            <w:tcW w:type="dxa" w:w="3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Nama perusahaan, jabatan, penghasilan (untuk produk Employee Benefit dan Kredit)</w:t>
            </w:r>
          </w:p>
        </w:tc>
        <w:tc>
          <w:tcPr>
            <w:tcW w:type="dxa" w:w="3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mitra bancassurance</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Data Benefisiari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Nama, hubungan, data identitas ahli waris/penerima manfaat</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(untuk klaim meninggal)</w:t>
            </w:r>
          </w:p>
        </w:tc>
      </w:tr>
    </w:tbl>
    <w:p>
      <w:pPr>
        <w:spacing w:after="100" w:before="10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26"/>
      </w:tblGrid>
      <w:tr>
        <w:tc>
          <w:tcPr>
            <w:tcW w:type="dxa" w:w="9026"/>
            <w:gridSpan w:val="4"/>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3.3 ALUR TRANSFER DATA</w:t>
            </w:r>
          </w:p>
        </w:tc>
      </w:tr>
      <w:tr>
        <w:tc>
          <w:tcPr>
            <w:tcW w:type="dxa" w:w="18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w:t>
            </w:r>
          </w:p>
        </w:tc>
        <w:tc>
          <w:tcPr>
            <w:tcW w:type="dxa" w:w="24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Penerima</w:t>
            </w:r>
          </w:p>
        </w:tc>
        <w:tc>
          <w:tcPr>
            <w:tcW w:type="dxa" w:w="22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Mekanisme Transfer</w:t>
            </w:r>
          </w:p>
        </w:tc>
        <w:tc>
          <w:tcPr>
            <w:tcW w:type="dxa" w:w="2626"/>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Lokasi Penerima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Domestik (InRe)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Sistem reasuransi terhubung melalui API terenkripsi + portal reasuransi</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Indonesia — dalam negeri</w:t>
            </w:r>
          </w:p>
        </w:tc>
      </w:tr>
      <w:tr>
        <w:tc>
          <w:tcPr>
            <w:tcW w:type="dxa" w:w="18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2</w:t>
            </w:r>
          </w:p>
        </w:tc>
        <w:tc>
          <w:tcPr>
            <w:tcW w:type="dxa" w:w="2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Asing (Munich Re, Swiss Re, Hannover Re)</w:t>
            </w:r>
          </w:p>
        </w:tc>
        <w:tc>
          <w:tcPr>
            <w:tcW w:type="dxa" w:w="2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Transfer terenkripsi via secure email + portal treaty reasuransi — lintas batas negara</w:t>
            </w:r>
          </w:p>
        </w:tc>
        <w:tc>
          <w:tcPr>
            <w:tcW w:type="dxa" w:w="26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Jerman, Swiss — luar negeri</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Broker Reasuransi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Dokumen digital terenkripsi melalui secure email resmi</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Indonesia</w:t>
            </w:r>
          </w:p>
        </w:tc>
      </w:tr>
      <w:tr>
        <w:tc>
          <w:tcPr>
            <w:tcW w:type="dxa" w:w="18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4</w:t>
            </w:r>
          </w:p>
        </w:tc>
        <w:tc>
          <w:tcPr>
            <w:tcW w:type="dxa" w:w="2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Bank Partner (Bancassurance)</w:t>
            </w:r>
          </w:p>
        </w:tc>
        <w:tc>
          <w:tcPr>
            <w:tcW w:type="dxa" w:w="2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API integrasi sistem core insurance ke sistem bank, terenkripsi TLS 1.2+</w:t>
            </w:r>
          </w:p>
        </w:tc>
        <w:tc>
          <w:tcPr>
            <w:tcW w:type="dxa" w:w="26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Indonesia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Rumah Sakit Provider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Portal klaim digital + faksimili terenkripsi untuk kasus darurat</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Indonesia</w:t>
            </w:r>
          </w:p>
        </w:tc>
      </w:tr>
    </w:tbl>
    <w:p>
      <w:pPr>
        <w:spacing w:after="80" w:before="80"/>
      </w:pPr>
      <w:r>
        <w:rPr>
          <w:rFonts w:ascii="Arial" w:cs="Arial" w:eastAsia="Arial" w:hAnsi="Arial"/>
          <w:sz w:val="20"/>
          <w:szCs w:val="20"/>
        </w:rPr>
        <w:t xml:space="preserve"/>
      </w:r>
    </w:p>
    <w:p>
      <w:pPr>
        <w:spacing w:after="60" w:before="60"/>
        <w:jc w:val="both"/>
      </w:pPr>
      <w:r>
        <w:rPr>
          <w:rFonts w:ascii="Arial" w:cs="Arial" w:eastAsia="Arial" w:hAnsi="Arial"/>
          <w:b/>
          <w:bCs/>
          <w:sz w:val="20"/>
          <w:szCs w:val="20"/>
        </w:rPr>
        <w:t xml:space="preserve">Catatan: </w:t>
      </w:r>
      <w:r>
        <w:rPr>
          <w:rFonts w:ascii="Arial" w:cs="Arial" w:eastAsia="Arial" w:hAnsi="Arial"/>
          <w:i/>
          <w:iCs/>
          <w:sz w:val="20"/>
          <w:szCs w:val="20"/>
        </w:rPr>
        <w:t xml:space="preserve">Semua transfer data ke reasuradur asing dikategorikan sebagai transfer data lintas batas negara (cross-border transfer) yang tunduk pada ketentuan UU PDP Pasal 56 dan wajib memenuhi persyaratan tingkat perlindungan yang setara atau lebih tinggi dari UU PDP.</w:t>
      </w:r>
    </w:p>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4. Penilaian Kebutuhan DPIA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9026"/>
            <w:gridSpan w:val="2"/>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4. PENILAIAN KEBUTUHAN DPIA</w:t>
            </w:r>
          </w:p>
        </w:tc>
      </w:tr>
      <w:tr>
        <w:tc>
          <w:tcPr>
            <w:tcW w:type="dxa" w:w="35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Kriteria</w:t>
            </w:r>
          </w:p>
        </w:tc>
        <w:tc>
          <w:tcPr>
            <w:tcW w:type="dxa" w:w="5526"/>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Penilaian</w:t>
            </w:r>
          </w:p>
        </w:tc>
      </w:tr>
      <w:tr>
        <w:tc>
          <w:tcPr>
            <w:tcW w:type="dxa" w:w="3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Pemrosesan data sensitif skala besar</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YA — data kesehatan (rekam medis, diagnosa) ribuan nasabah aktif</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Transfer data ke pihak ketiga</w:t>
            </w:r>
          </w:p>
        </w:tc>
        <w:tc>
          <w:tcPr>
            <w:tcW w:type="dxa" w:w="5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YA — reasuradur domestik &amp; asing, bank partner, RS provider</w:t>
            </w:r>
          </w:p>
        </w:tc>
      </w:tr>
      <w:tr>
        <w:tc>
          <w:tcPr>
            <w:tcW w:type="dxa" w:w="3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Transfer data lintas batas negara</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YA — reasuradur asing di Jerman dan Swiss</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Profiling atau evaluasi sistematis</w:t>
            </w:r>
          </w:p>
        </w:tc>
        <w:tc>
          <w:tcPr>
            <w:tcW w:type="dxa" w:w="5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PARSIAL — risk scoring dalam proses underwriting</w:t>
            </w:r>
          </w:p>
        </w:tc>
      </w:tr>
      <w:tr>
        <w:tc>
          <w:tcPr>
            <w:tcW w:type="dxa" w:w="3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Subjek data rentan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YA — nasabah sakit (klaim), pemegang polis lanjut usia</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Volume data signifikan</w:t>
            </w:r>
          </w:p>
        </w:tc>
        <w:tc>
          <w:tcPr>
            <w:tcW w:type="dxa" w:w="5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YA — &gt;50.000 polis aktif, pemrosesan klaim rutin harian</w:t>
            </w:r>
          </w:p>
        </w:tc>
      </w:tr>
      <w:tr>
        <w:tc>
          <w:tcPr>
            <w:tcW w:type="dxa" w:w="35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Dampak signifikan jika terjadi pelanggaran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YA — potensi diskriminasi, kerugian finansial, pencemaran nama baik</w:t>
            </w:r>
          </w:p>
        </w:tc>
      </w:tr>
      <w:tr>
        <w:tc>
          <w:tcPr>
            <w:tcW w:type="dxa" w:w="35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Kesimpulan</w:t>
            </w:r>
          </w:p>
        </w:tc>
        <w:tc>
          <w:tcPr>
            <w:tcW w:type="dxa" w:w="5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bCs/>
                <w:color w:val="1A3A5C"/>
                <w:sz w:val="19"/>
                <w:szCs w:val="19"/>
              </w:rPr>
              <w:t xml:space="preserve">DPIA WAJIB DILAKSANAKAN</w:t>
            </w:r>
          </w:p>
        </w:tc>
      </w:tr>
    </w:tbl>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5. Identifikasi dan Penilaian Risiko</w:t>
      </w:r>
    </w:p>
    <w:p>
      <w:pPr>
        <w:spacing w:after="60" w:before="60"/>
        <w:jc w:val="both"/>
      </w:pPr>
      <w:r>
        <w:rPr>
          <w:rFonts w:ascii="Arial" w:cs="Arial" w:eastAsia="Arial" w:hAnsi="Arial"/>
          <w:sz w:val="20"/>
          <w:szCs w:val="20"/>
        </w:rPr>
        <w:t xml:space="preserve">Berikut adalah identifikasi risiko signifikan yang teridentifikasi dalam kegiatan transfer data ini. Penilaian dilakukan berdasarkan kondisi sebelum mitigasi (inherent risk).</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000"/>
        <w:gridCol w:w="1400"/>
        <w:gridCol w:w="700"/>
        <w:gridCol w:w="700"/>
        <w:gridCol w:w="700"/>
        <w:gridCol w:w="1826"/>
      </w:tblGrid>
      <w:tr>
        <w:tc>
          <w:tcPr>
            <w:tcW w:type="dxa" w:w="9026"/>
            <w:gridSpan w:val="8"/>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5. IDENTIFIKASI DAN PENILAIAN RISIKO</w:t>
            </w:r>
          </w:p>
        </w:tc>
      </w:tr>
      <w:tr>
        <w:tc>
          <w:tcPr>
            <w:tcW w:type="dxa" w:w="5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2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Nama Risiko</w:t>
            </w:r>
          </w:p>
        </w:tc>
        <w:tc>
          <w:tcPr>
            <w:tcW w:type="dxa" w:w="2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Deskripsi Risiko</w:t>
            </w:r>
          </w:p>
        </w:tc>
        <w:tc>
          <w:tcPr>
            <w:tcW w:type="dxa" w:w="14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Data Terdampak</w:t>
            </w:r>
          </w:p>
        </w:tc>
        <w:tc>
          <w:tcPr>
            <w:tcW w:type="dxa" w:w="7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Kemungkinan</w:t>
            </w:r>
          </w:p>
        </w:tc>
        <w:tc>
          <w:tcPr>
            <w:tcW w:type="dxa" w:w="7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Dampak</w:t>
            </w:r>
          </w:p>
        </w:tc>
        <w:tc>
          <w:tcPr>
            <w:tcW w:type="dxa" w:w="7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Risiko</w:t>
            </w:r>
          </w:p>
        </w:tc>
        <w:tc>
          <w:tcPr>
            <w:tcW w:type="dxa" w:w="1826"/>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Konsekuensi</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Pelanggaran Data oleh Reasuradur Asing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Sistem reasuradur asing mengalami breach; data kesehatan nasabah bocor ke publik atau pihak tidak berwenang.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kesehatan, identitas, uang pertanggungan</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Diskriminasi nasabah, kerugian finansial, reputasi Perusahaan, potensi sanksi OJK</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R-02</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Penggunaan Data Melebihi Tujuan (Purpose Creep)</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Reasuradur atau mitra menggunakan data nasabah untuk tujuan di luar perjanjian (misalnya riset pasar, iklan).</w:t>
            </w:r>
          </w:p>
        </w:tc>
        <w:tc>
          <w:tcPr>
            <w:tcW w:type="dxa" w:w="1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Seluruh kategori data</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18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Pelanggaran hak nasabah, gugatan hukum, denda regulator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Ketidakcukupan Perjanjian Pemrosesan Data (DPA)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Kontrak dengan mitra tidak memuat klausul PDP yang memadai, sehingga tanggung jawab perlindungan data tidak jelas.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Seluruh kategori data</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Perusahaan menanggung seluruh liabilitas atas pelanggaran yang dilakukan mitra</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R-04</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Transfer Data Lintas Batas Tanpa Jaminan Perlindungan</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dikirim ke reasuradur asing di negara yang tidak memiliki regulasi PDP setara Indonesia.</w:t>
            </w:r>
          </w:p>
        </w:tc>
        <w:tc>
          <w:tcPr>
            <w:tcW w:type="dxa" w:w="1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kesehatan, identitas</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18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Pelanggaran UU PDP Pasal 56, sanksi administratif, tidak ada recourse bagi nasabah</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Akses Tidak Sah ke Data dalam Proses Transmisi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Intercepting data saat transit antar sistem akibat enkripsi lemah atau protokol usang.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kesehatan, keuangan</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Kebocoran data sensitif, kerugian finansial nasabah</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R-06</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Retensi Data Berlebihan oleh Pihak Ketiga</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Mitra menyimpan data nasabah lebih lama dari yang diperlukan setelah perjanjian berakhir.</w:t>
            </w:r>
          </w:p>
        </w:tc>
        <w:tc>
          <w:tcPr>
            <w:tcW w:type="dxa" w:w="1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Seluruh kategori data</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18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Risiko pelanggaran lanjutan, data digunakan tanpa izin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Kegagalan Penyampaian Informasi yang Transparan kepada Nasabah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Nasabah tidak mengetahui siapa saja yang menerima data mereka dan untuk tujuan apa.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Seluruh kategori data</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Kepercayaan nasabah menurun, potensi gugatan atas hak informasi</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R-08</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Insiden Kebocoran Data di Rumah Sakit Provider</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RS provider mengalami kebocoran data medis pasien yang merupakan nasabah Perusahaan.</w:t>
            </w:r>
          </w:p>
        </w:tc>
        <w:tc>
          <w:tcPr>
            <w:tcW w:type="dxa" w:w="1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kesehatan, identitas</w:t>
            </w:r>
          </w:p>
        </w:tc>
        <w:tc>
          <w:tcPr>
            <w:tcW w:type="dxa" w:w="70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top"/>
          </w:tcPr>
          <w:p>
            <w:pPr>
              <w:spacing w:after="40" w:before="40"/>
              <w:jc w:val="center"/>
            </w:pPr>
            <w:r>
              <w:rPr>
                <w:rFonts w:ascii="Arial" w:cs="Arial" w:eastAsia="Arial" w:hAnsi="Arial"/>
                <w:b/>
                <w:bCs/>
                <w:color w:val="27AE60"/>
                <w:sz w:val="19"/>
                <w:szCs w:val="19"/>
              </w:rPr>
              <w:t xml:space="preserve">RENDAH</w:t>
            </w:r>
          </w:p>
        </w:tc>
        <w:tc>
          <w:tcPr>
            <w:tcW w:type="dxa" w:w="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center"/>
            </w:pPr>
            <w:r>
              <w:rPr>
                <w:rFonts w:ascii="Arial" w:cs="Arial" w:eastAsia="Arial" w:hAnsi="Arial"/>
                <w:b/>
                <w:bCs/>
                <w:color w:val="C0392B"/>
                <w:sz w:val="19"/>
                <w:szCs w:val="19"/>
              </w:rPr>
              <w:t xml:space="preserve">TINGGI</w:t>
            </w:r>
          </w:p>
        </w:tc>
        <w:tc>
          <w:tcPr>
            <w:tcW w:type="dxa" w:w="7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c>
          <w:tcPr>
            <w:tcW w:type="dxa" w:w="18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Privasi nasabah terancam, stigmatisasi kondisi medis</w:t>
            </w:r>
          </w:p>
        </w:tc>
      </w:tr>
    </w:tbl>
    <w:p>
      <w:pPr>
        <w:spacing w:after="80" w:before="80"/>
      </w:pPr>
      <w:r>
        <w:rPr>
          <w:rFonts w:ascii="Arial" w:cs="Arial" w:eastAsia="Arial" w:hAnsi="Arial"/>
          <w:sz w:val="20"/>
          <w:szCs w:val="20"/>
        </w:rPr>
        <w:t xml:space="preserve"/>
      </w:r>
    </w:p>
    <w:p>
      <w:pPr>
        <w:spacing w:after="40" w:before="40"/>
      </w:pPr>
      <w:r>
        <w:rPr>
          <w:rFonts w:ascii="Arial" w:cs="Arial" w:eastAsia="Arial" w:hAnsi="Arial"/>
          <w:b/>
          <w:bCs/>
          <w:sz w:val="18"/>
          <w:szCs w:val="18"/>
        </w:rPr>
        <w:t xml:space="preserve">Keterangan: </w:t>
      </w:r>
      <w:r>
        <w:rPr>
          <w:rFonts w:ascii="Arial" w:cs="Arial" w:eastAsia="Arial" w:hAnsi="Arial"/>
          <w:b/>
          <w:bCs/>
          <w:color w:val="C0392B"/>
          <w:sz w:val="18"/>
          <w:szCs w:val="18"/>
        </w:rPr>
        <w:t xml:space="preserve">TINGGI</w:t>
      </w:r>
      <w:r>
        <w:rPr>
          <w:rFonts w:ascii="Arial" w:cs="Arial" w:eastAsia="Arial" w:hAnsi="Arial"/>
          <w:sz w:val="18"/>
          <w:szCs w:val="18"/>
        </w:rPr>
        <w:t xml:space="preserve"> = Kemungkinan/Dampak signifikan yang memerlukan mitigasi segera;  </w:t>
      </w:r>
      <w:r>
        <w:rPr>
          <w:rFonts w:ascii="Arial" w:cs="Arial" w:eastAsia="Arial" w:hAnsi="Arial"/>
          <w:b/>
          <w:bCs/>
          <w:color w:val="E67E22"/>
          <w:sz w:val="18"/>
          <w:szCs w:val="18"/>
        </w:rPr>
        <w:t xml:space="preserve">SEDANG</w:t>
      </w:r>
      <w:r>
        <w:rPr>
          <w:rFonts w:ascii="Arial" w:cs="Arial" w:eastAsia="Arial" w:hAnsi="Arial"/>
          <w:sz w:val="18"/>
          <w:szCs w:val="18"/>
        </w:rPr>
        <w:t xml:space="preserve"> = Perlu dikelola dengan kontrol yang memadai;  </w:t>
      </w:r>
      <w:r>
        <w:rPr>
          <w:rFonts w:ascii="Arial" w:cs="Arial" w:eastAsia="Arial" w:hAnsi="Arial"/>
          <w:b/>
          <w:bCs/>
          <w:color w:val="27AE60"/>
          <w:sz w:val="18"/>
          <w:szCs w:val="18"/>
        </w:rPr>
        <w:t xml:space="preserve">RENDAH</w:t>
      </w:r>
      <w:r>
        <w:rPr>
          <w:rFonts w:ascii="Arial" w:cs="Arial" w:eastAsia="Arial" w:hAnsi="Arial"/>
          <w:sz w:val="18"/>
          <w:szCs w:val="18"/>
        </w:rPr>
        <w:t xml:space="preserve"> = Dapat diterima dengan pemantauan berkala.</w:t>
      </w:r>
    </w:p>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6. Langkah Mitigasi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1200"/>
        <w:gridCol w:w="2326"/>
      </w:tblGrid>
      <w:tr>
        <w:tc>
          <w:tcPr>
            <w:tcW w:type="dxa" w:w="9026"/>
            <w:gridSpan w:val="5"/>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6. LANGKAH MITIGASI RISIKO</w:t>
            </w:r>
          </w:p>
        </w:tc>
      </w:tr>
      <w:tr>
        <w:tc>
          <w:tcPr>
            <w:tcW w:type="dxa" w:w="5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3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Langkah Mitigasi</w:t>
            </w:r>
          </w:p>
        </w:tc>
        <w:tc>
          <w:tcPr>
            <w:tcW w:type="dxa" w:w="2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Penanggung Jawab</w:t>
            </w:r>
          </w:p>
        </w:tc>
        <w:tc>
          <w:tcPr>
            <w:tcW w:type="dxa" w:w="12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 Selesai</w:t>
            </w:r>
          </w:p>
        </w:tc>
        <w:tc>
          <w:tcPr>
            <w:tcW w:type="dxa" w:w="2326"/>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Risiko Residual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Klausul wajib keamanan data dalam DPA dengan reasuradur asing; sertifikasi ISO 27001 atau setara sebagai persyaratan vendor; hak audit Perusahaan atas sistem reasuradur; enkripsi end-to-end AES-256 untuk semua transfer data.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Noor Setiadi (IT) + Muhammad David Franico (Legal)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Q1 2025</w:t>
            </w:r>
          </w:p>
        </w:tc>
        <w:tc>
          <w:tcPr>
            <w:tcW w:type="dxa" w:w="2326"/>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R-02</w:t>
            </w:r>
          </w:p>
        </w:tc>
        <w:tc>
          <w:tcPr>
            <w:tcW w:type="dxa" w:w="3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Processing Agreement (DPA) memuat klausul purpose limitation yang eksplisit; larangan sublisensi data tanpa persetujuan tertulis; audit tahunan atas penggunaan data oleh mitra.</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Muhammad David Franico (Legal)</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Q4 2024</w:t>
            </w:r>
          </w:p>
        </w:tc>
        <w:tc>
          <w:tcPr>
            <w:tcW w:type="dxa" w:w="2326"/>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top"/>
          </w:tcPr>
          <w:p>
            <w:pPr>
              <w:spacing w:after="40" w:before="40"/>
              <w:jc w:val="center"/>
            </w:pPr>
            <w:r>
              <w:rPr>
                <w:rFonts w:ascii="Arial" w:cs="Arial" w:eastAsia="Arial" w:hAnsi="Arial"/>
                <w:b/>
                <w:bCs/>
                <w:color w:val="27AE60"/>
                <w:sz w:val="19"/>
                <w:szCs w:val="19"/>
              </w:rPr>
              <w:t xml:space="preserve">RENDAH</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Review dan perbarui seluruh kontrak dengan mitra untuk memasukkan klausul DPA sesuai UU PDP; standardisasi template kontrak yang memuat tanggung jawab PDP.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Legal &amp; Compliance + Risk Management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Q4 2024</w:t>
            </w:r>
          </w:p>
        </w:tc>
        <w:tc>
          <w:tcPr>
            <w:tcW w:type="dxa" w:w="2326"/>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top"/>
          </w:tcPr>
          <w:p>
            <w:pPr>
              <w:spacing w:after="40" w:before="40"/>
              <w:jc w:val="center"/>
            </w:pPr>
            <w:r>
              <w:rPr>
                <w:rFonts w:ascii="Arial" w:cs="Arial" w:eastAsia="Arial" w:hAnsi="Arial"/>
                <w:b/>
                <w:bCs/>
                <w:color w:val="27AE60"/>
                <w:sz w:val="19"/>
                <w:szCs w:val="19"/>
              </w:rPr>
              <w:t xml:space="preserve">RENDAH</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R-04</w:t>
            </w:r>
          </w:p>
        </w:tc>
        <w:tc>
          <w:tcPr>
            <w:tcW w:type="dxa" w:w="3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Lakukan Transfer Impact Assessment (TIA) untuk setiap reasuradur asing; terapkan Standard Contractual Clauses (SCC) setara GDPR; verifikasi regulasi PDP di negara penerima; dapatkan persetujuan eksplisit nasabah untuk transfer lintas batas.</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Lead DPO + Legal</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Q4 2024</w:t>
            </w:r>
          </w:p>
        </w:tc>
        <w:tc>
          <w:tcPr>
            <w:tcW w:type="dxa" w:w="2326"/>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vAlign w:val="top"/>
          </w:tcPr>
          <w:p>
            <w:pPr>
              <w:spacing w:after="40" w:before="40"/>
              <w:jc w:val="center"/>
            </w:pPr>
            <w:r>
              <w:rPr>
                <w:rFonts w:ascii="Arial" w:cs="Arial" w:eastAsia="Arial" w:hAnsi="Arial"/>
                <w:b/>
                <w:bCs/>
                <w:color w:val="E67E22"/>
                <w:sz w:val="19"/>
                <w:szCs w:val="19"/>
              </w:rPr>
              <w:t xml:space="preserve">SEDANG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Wajibkan TLS 1.3 untuk semua koneksi API; enkripsi data at-rest dan in-transit; penetration testing tahunan; disable protokol SSL/TLS usang.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IT Security &amp; Governance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Q1 2025</w:t>
            </w:r>
          </w:p>
        </w:tc>
        <w:tc>
          <w:tcPr>
            <w:tcW w:type="dxa" w:w="2326"/>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top"/>
          </w:tcPr>
          <w:p>
            <w:pPr>
              <w:spacing w:after="40" w:before="40"/>
              <w:jc w:val="center"/>
            </w:pPr>
            <w:r>
              <w:rPr>
                <w:rFonts w:ascii="Arial" w:cs="Arial" w:eastAsia="Arial" w:hAnsi="Arial"/>
                <w:b/>
                <w:bCs/>
                <w:color w:val="27AE60"/>
                <w:sz w:val="19"/>
                <w:szCs w:val="19"/>
              </w:rPr>
              <w:t xml:space="preserve">RENDAH</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R-06</w:t>
            </w:r>
          </w:p>
        </w:tc>
        <w:tc>
          <w:tcPr>
            <w:tcW w:type="dxa" w:w="3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Klausul retensi dan penghapusan data dalam DPA; verifikasi berkala penghapusan data oleh mitra setelah perjanjian berakhir; prosedur certified data destruction.</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Legal + IT</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Q4 2024</w:t>
            </w:r>
          </w:p>
        </w:tc>
        <w:tc>
          <w:tcPr>
            <w:tcW w:type="dxa" w:w="2326"/>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top"/>
          </w:tcPr>
          <w:p>
            <w:pPr>
              <w:spacing w:after="40" w:before="40"/>
              <w:jc w:val="center"/>
            </w:pPr>
            <w:r>
              <w:rPr>
                <w:rFonts w:ascii="Arial" w:cs="Arial" w:eastAsia="Arial" w:hAnsi="Arial"/>
                <w:b/>
                <w:bCs/>
                <w:color w:val="27AE60"/>
                <w:sz w:val="19"/>
                <w:szCs w:val="19"/>
              </w:rPr>
              <w:t xml:space="preserve">RENDAH</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Perbarui Privacy Notice di website, aplikasi, dan SPAJ untuk mencantumkan daftar pihak ketiga penerima data; tambahkan mekanisme persetujuan granular dalam aplikasi digital.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Corporate Communication + IT + Legal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Q4 2024</w:t>
            </w:r>
          </w:p>
        </w:tc>
        <w:tc>
          <w:tcPr>
            <w:tcW w:type="dxa" w:w="2326"/>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top"/>
          </w:tcPr>
          <w:p>
            <w:pPr>
              <w:spacing w:after="40" w:before="40"/>
              <w:jc w:val="center"/>
            </w:pPr>
            <w:r>
              <w:rPr>
                <w:rFonts w:ascii="Arial" w:cs="Arial" w:eastAsia="Arial" w:hAnsi="Arial"/>
                <w:b/>
                <w:bCs/>
                <w:color w:val="27AE60"/>
                <w:sz w:val="19"/>
                <w:szCs w:val="19"/>
              </w:rPr>
              <w:t xml:space="preserve">RENDAH</w:t>
            </w:r>
          </w:p>
        </w:tc>
      </w:tr>
      <w:tr>
        <w:tc>
          <w:tcPr>
            <w:tcW w:type="dxa" w:w="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R-08</w:t>
            </w:r>
          </w:p>
        </w:tc>
        <w:tc>
          <w:tcPr>
            <w:tcW w:type="dxa" w:w="3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Sertakan klausul keamanan data dalam perjanjian provider; lakukan security assessment sebelum onboarding RS provider baru; batasi data yang dibagikan ke minimum yang diperlukan (data minimization).</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IT Security + Operation</w:t>
            </w:r>
          </w:p>
        </w:tc>
        <w:tc>
          <w:tcPr>
            <w:tcW w:type="dxa" w:w="1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Q1 2025</w:t>
            </w:r>
          </w:p>
        </w:tc>
        <w:tc>
          <w:tcPr>
            <w:tcW w:type="dxa" w:w="2326"/>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vAlign w:val="top"/>
          </w:tcPr>
          <w:p>
            <w:pPr>
              <w:spacing w:after="40" w:before="40"/>
              <w:jc w:val="center"/>
            </w:pPr>
            <w:r>
              <w:rPr>
                <w:rFonts w:ascii="Arial" w:cs="Arial" w:eastAsia="Arial" w:hAnsi="Arial"/>
                <w:b/>
                <w:bCs/>
                <w:color w:val="27AE60"/>
                <w:sz w:val="19"/>
                <w:szCs w:val="19"/>
              </w:rPr>
              <w:t xml:space="preserve">RENDAH</w:t>
            </w:r>
          </w:p>
        </w:tc>
      </w:tr>
    </w:tbl>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7. Pemenuhan Hak Subjek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9026"/>
            <w:gridSpan w:val="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7. PEMENUHAN HAK SUBJEK DATA</w:t>
            </w:r>
          </w:p>
        </w:tc>
      </w:tr>
      <w:tr>
        <w:tc>
          <w:tcPr>
            <w:tcW w:type="dxa" w:w="22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Hak Subjek Data (UU PDP)</w:t>
            </w:r>
          </w:p>
        </w:tc>
        <w:tc>
          <w:tcPr>
            <w:tcW w:type="dxa" w:w="32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Mekanisme Pemenuhan</w:t>
            </w:r>
          </w:p>
        </w:tc>
        <w:tc>
          <w:tcPr>
            <w:tcW w:type="dxa" w:w="3626"/>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Tantangan &amp; Solusi</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Hak Memperoleh Informasi (Ps. 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Privacy Notice di SPAJ, website equity.co.id, dan aplikasi mencantumkan seluruh pihak penerima data</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Tantangan: Nasabah tidak membaca. Solusi: ringkasan visual satu halaman + pop-up konfirmasi digital.</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Hak Akses (Ps. 6)</w:t>
            </w:r>
          </w:p>
        </w:tc>
        <w:tc>
          <w:tcPr>
            <w:tcW w:type="dxa" w:w="3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Nasabah dapat meminta salinan data melalui contact center (1500079) atau portal nasabah dalam waktu 14 hari kerja</w:t>
            </w:r>
          </w:p>
        </w:tc>
        <w:tc>
          <w:tcPr>
            <w:tcW w:type="dxa" w:w="36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Tantangan: Data tersebar di sistem mitra. Solusi: koordinasi Lead DPO dengan mitra untuk pengumpulan data.</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Hak Koreksi (Ps. 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Permintaan koreksi melalui contact center; perubahan disampaikan ke seluruh mitra yang menerima data tersebut dalam 7 hari kerja</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Tantangan: Propagasi perubahan ke banyak pihak. Solusi: SOP notifikasi koreksi ke mitra.</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Hak Penghapusan (Ps. 8)</w:t>
            </w:r>
          </w:p>
        </w:tc>
        <w:tc>
          <w:tcPr>
            <w:tcW w:type="dxa" w:w="3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Nasabah dapat meminta penghapusan data setelah polis berakhir, tunduk pada kewajiban retensi hukum (min. 5 tahun sesuai peraturan OJK)</w:t>
            </w:r>
          </w:p>
        </w:tc>
        <w:tc>
          <w:tcPr>
            <w:tcW w:type="dxa" w:w="36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Tantangan: Konflik dengan kewajiban retensi. Solusi: komunikasi transparan tentang batasan hukum.</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Hak Menarik Persetujuan (Ps. 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Penarikan persetujuan dapat dilakukan melalui contact center; berdampak pada kemampuan Perusahaan memproses klaim</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Tantangan: Nasabah tidak memahami konsekuensi. Solusi: penjelasan dampak sebelum penarikan dikonfirmasi.</w:t>
            </w:r>
          </w:p>
        </w:tc>
      </w:tr>
      <w:tr>
        <w:tc>
          <w:tcPr>
            <w:tcW w:type="dxa" w:w="2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Hak Portabilitas (Ps. 10)</w:t>
            </w:r>
          </w:p>
        </w:tc>
        <w:tc>
          <w:tcPr>
            <w:tcW w:type="dxa" w:w="3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Data dapat diekspor dalam format yang dapat dibaca mesin (CSV/JSON) atas permintaan nasabah</w:t>
            </w:r>
          </w:p>
        </w:tc>
        <w:tc>
          <w:tcPr>
            <w:tcW w:type="dxa" w:w="36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Tantangan: Data kesehatan dari RS provider. Solusi: koordinasi dengan RS untuk format standar.</w:t>
            </w:r>
          </w:p>
        </w:tc>
      </w:tr>
      <w:tr>
        <w:tc>
          <w:tcPr>
            <w:tcW w:type="dxa" w:w="22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Hak Keberatan (Ps. 11)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Nasabah dapat mengajukan keberatan pemrosesan tertentu; ditangani oleh Lead DPO dalam 14 hari kerja</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Tantangan: Keberatan atas underwriting berbasis data. Solusi: revisi proses atau penjelasan dasar hukum.</w:t>
            </w:r>
          </w:p>
        </w:tc>
      </w:tr>
    </w:tbl>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8. Konsultasi</w:t>
      </w:r>
    </w:p>
    <w:p>
      <w:pPr>
        <w:spacing w:after="60" w:before="60"/>
        <w:jc w:val="both"/>
      </w:pPr>
      <w:r>
        <w:rPr>
          <w:rFonts w:ascii="Arial" w:cs="Arial" w:eastAsia="Arial" w:hAnsi="Arial"/>
          <w:sz w:val="20"/>
          <w:szCs w:val="20"/>
        </w:rPr>
        <w:t xml:space="preserve">Dalam proses penyusunan DPIA ini, telah dilakukan konsultasi dengan unit-unit berikut:</w:t>
      </w:r>
    </w:p>
    <w:p>
      <w:pPr>
        <w:spacing w:after="20" w:before="20"/>
      </w:pPr>
      <w:r>
        <w:rPr>
          <w:rFonts w:ascii="Arial" w:cs="Arial" w:eastAsia="Arial" w:hAnsi="Arial"/>
          <w:sz w:val="20"/>
          <w:szCs w:val="20"/>
        </w:rPr>
        <w:t xml:space="preserve"/>
      </w:r>
    </w:p>
    <w:p>
      <w:pPr>
        <w:spacing w:after="30" w:before="30"/>
        <w:ind w:left="360"/>
      </w:pPr>
      <w:r>
        <w:rPr>
          <w:rFonts w:ascii="Arial" w:cs="Arial" w:eastAsia="Arial" w:hAnsi="Arial"/>
          <w:sz w:val="19"/>
          <w:szCs w:val="19"/>
        </w:rPr>
        <w:t xml:space="preserve">1.  IT Security &amp; Governance — review teknis keamanan transmisi data</w:t>
      </w:r>
    </w:p>
    <w:p>
      <w:pPr>
        <w:spacing w:after="30" w:before="30"/>
        <w:ind w:left="360"/>
      </w:pPr>
      <w:r>
        <w:rPr>
          <w:rFonts w:ascii="Arial" w:cs="Arial" w:eastAsia="Arial" w:hAnsi="Arial"/>
          <w:sz w:val="19"/>
          <w:szCs w:val="19"/>
        </w:rPr>
        <w:t xml:space="preserve">2.  Legal &amp; Compliance — review dasar hukum pemrosesan dan klausul kontrak DPA</w:t>
      </w:r>
    </w:p>
    <w:p>
      <w:pPr>
        <w:spacing w:after="30" w:before="30"/>
        <w:ind w:left="360"/>
      </w:pPr>
      <w:r>
        <w:rPr>
          <w:rFonts w:ascii="Arial" w:cs="Arial" w:eastAsia="Arial" w:hAnsi="Arial"/>
          <w:sz w:val="19"/>
          <w:szCs w:val="19"/>
        </w:rPr>
        <w:t xml:space="preserve">3.  Risk Management — penilaian risiko residual dan kontrol</w:t>
      </w:r>
    </w:p>
    <w:p>
      <w:pPr>
        <w:spacing w:after="30" w:before="30"/>
        <w:ind w:left="360"/>
      </w:pPr>
      <w:r>
        <w:rPr>
          <w:rFonts w:ascii="Arial" w:cs="Arial" w:eastAsia="Arial" w:hAnsi="Arial"/>
          <w:sz w:val="19"/>
          <w:szCs w:val="19"/>
        </w:rPr>
        <w:t xml:space="preserve">4.  Operation (Reinsurance Operation, Claim) — deskripsi proses bisnis</w:t>
      </w:r>
    </w:p>
    <w:p>
      <w:pPr>
        <w:spacing w:after="30" w:before="30"/>
        <w:ind w:left="360"/>
      </w:pPr>
      <w:r>
        <w:rPr>
          <w:rFonts w:ascii="Arial" w:cs="Arial" w:eastAsia="Arial" w:hAnsi="Arial"/>
          <w:sz w:val="19"/>
          <w:szCs w:val="19"/>
        </w:rPr>
        <w:t xml:space="preserve">5.  Client Services — mekanisme penanganan permintaan dan keluhan nasabah</w:t>
      </w:r>
    </w:p>
    <w:p>
      <w:pPr>
        <w:spacing w:after="30" w:before="30"/>
        <w:ind w:left="360"/>
      </w:pPr>
      <w:r>
        <w:rPr>
          <w:rFonts w:ascii="Arial" w:cs="Arial" w:eastAsia="Arial" w:hAnsi="Arial"/>
          <w:sz w:val="19"/>
          <w:szCs w:val="19"/>
        </w:rPr>
        <w:t xml:space="preserve">6.  Human Capital — aspek data karyawan dalam produk Employee Benefit</w:t>
      </w:r>
    </w:p>
    <w:p>
      <w:pPr>
        <w:spacing w:after="60" w:before="60"/>
      </w:pPr>
      <w:r>
        <w:rPr>
          <w:rFonts w:ascii="Arial" w:cs="Arial" w:eastAsia="Arial" w:hAnsi="Arial"/>
          <w:sz w:val="20"/>
          <w:szCs w:val="20"/>
        </w:rPr>
        <w:t xml:space="preserve"/>
      </w:r>
    </w:p>
    <w:p>
      <w:pPr>
        <w:spacing w:after="60" w:before="60"/>
        <w:jc w:val="both"/>
      </w:pPr>
      <w:r>
        <w:rPr>
          <w:rFonts w:ascii="Arial" w:cs="Arial" w:eastAsia="Arial" w:hAnsi="Arial"/>
          <w:sz w:val="20"/>
          <w:szCs w:val="20"/>
        </w:rPr>
        <w:t xml:space="preserve">Tidak ada konsultasi eksternal ke otoritas PDP yang dipandang perlu saat ini. Apabila hasil Transfer Impact Assessment terhadap reasuradur asing mengindikasikan risiko yang tidak dapat dimitigasi, konsultasi ke Kementerian Komunikasi dan Informatika akan dilakukan.</w:t>
      </w:r>
    </w:p>
    <w:p>
      <w:pPr>
        <w:spacing w:after="80" w:before="8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9. Kesimpulan dan Rekomendasi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8. KESIMPULAN DAN REKOMENDASI</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Kesimpulan Penilaian</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Transfer data pribadi nasabah kepada reasuradur, mitra bancassurance, dan rumah sakit provider merupakan kegiatan pemrosesan dengan risiko tinggi yang memerlukan pengendalian ketat. Dengan diterapkannya seluruh langkah mitigasi dalam DPIA ini, risiko residual dapat diturunkan ke level SEDANG yang dapat diterima.</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Rekomendasi</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DISETUJUI DENGAN SYARAT — Kegiatan transfer data dapat dilanjutkan dengan syarat seluruh langkah mitigasi diselesaikan sesuai target waktu yang ditetapkan.</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Tindakan Segera (&lt; 30 hari)</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1. Review dan perbarui kontrak DPA dengan seluruh mitra aktif
2. Perbarui Privacy Notice di semua titik kontak nasabah
3. Lakukan Transfer Impact Assessment untuk reasuradur asing</w:t>
            </w:r>
          </w:p>
        </w:tc>
      </w:tr>
      <w:tr>
        <w:tc>
          <w:tcPr>
            <w:tcW w:type="dxa" w:w="2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Monitoring</w:t>
            </w:r>
          </w:p>
        </w:tc>
        <w:tc>
          <w:tcPr>
            <w:tcW w:type="dxa" w:w="62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Lead DPO melakukan review kepatuhan implementasi mitigasi setiap 3 bulan dan melaporkan hasilnya kepada Direktur Kepatuhan.</w:t>
            </w:r>
          </w:p>
        </w:tc>
      </w:tr>
      <w:tr>
        <w:tc>
          <w:tcPr>
            <w:tcW w:type="dxa" w:w="28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DPIA Berikutnya</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Review DPIA dilakukan paling lambat 1 Oktober 2025 atau lebih awal jika: (a) ada perubahan mitra/reasuradur, (b) perubahan regulasi material, (c) insiden pelanggaran data.</w:t>
            </w:r>
          </w:p>
        </w:tc>
      </w:tr>
    </w:tbl>
    <w:p>
      <w:pPr>
        <w:spacing w:after="100" w:before="100"/>
      </w:pPr>
      <w:r>
        <w:rPr>
          <w:rFonts w:ascii="Arial" w:cs="Arial" w:eastAsia="Arial" w:hAnsi="Arial"/>
          <w:sz w:val="20"/>
          <w:szCs w:val="20"/>
        </w:rPr>
        <w:t xml:space="preserve"/>
      </w:r>
    </w:p>
    <w:p>
      <w:pPr>
        <w:pStyle w:val="Heading1"/>
        <w:spacing w:after="120" w:before="320"/>
      </w:pPr>
      <w:r>
        <w:rPr>
          <w:rFonts w:ascii="Arial" w:cs="Arial" w:eastAsia="Arial" w:hAnsi="Arial"/>
          <w:b/>
          <w:bCs/>
          <w:color w:val="1A3A5C"/>
          <w:sz w:val="26"/>
          <w:szCs w:val="26"/>
        </w:rPr>
        <w:t xml:space="preserve">Lembar Persetujuan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9026"/>
            <w:gridSpan w:val="4"/>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PERSETUJUAN</w:t>
            </w:r>
          </w:p>
        </w:tc>
      </w:tr>
      <w:tr>
        <w:tc>
          <w:tcPr>
            <w:tcW w:type="dxa" w:w="2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Peran</w:t>
            </w:r>
          </w:p>
        </w:tc>
        <w:tc>
          <w:tcPr>
            <w:tcW w:type="dxa" w:w="25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Nama</w:t>
            </w:r>
          </w:p>
        </w:tc>
        <w:tc>
          <w:tcPr>
            <w:tcW w:type="dxa" w:w="2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Tanggal</w:t>
            </w:r>
          </w:p>
        </w:tc>
        <w:tc>
          <w:tcPr>
            <w:tcW w:type="dxa" w:w="2526"/>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Tanda Tangan</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Disusun oleh (Lead DPO)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Noor Setiadi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15 September 2024</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___________________</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Diperiksa oleh (Legal)</w:t>
            </w:r>
          </w:p>
        </w:tc>
        <w:tc>
          <w:tcPr>
            <w:tcW w:type="dxa" w:w="2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Muhammad David Franico</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20 September 2024</w:t>
            </w:r>
          </w:p>
        </w:tc>
        <w:tc>
          <w:tcPr>
            <w:tcW w:type="dxa" w:w="2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___________________</w:t>
            </w:r>
          </w:p>
        </w:tc>
      </w:tr>
      <w:tr>
        <w:tc>
          <w:tcPr>
            <w:tcW w:type="dxa" w:w="2000"/>
            <w:tcBorders>
              <w:top w:val="single" w:color="AAAAAA" w:sz="1"/>
              <w:left w:val="single" w:color="AAAAAA" w:sz="1"/>
              <w:bottom w:val="single" w:color="AAAAAA" w:sz="1"/>
              <w:right w:val="single" w:color="AAAAAA" w:sz="1"/>
            </w:tcBorders>
            <w:shd w:fill="EDF2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Diperiksa oleh (Risk Mgmt)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Ibut Gemantri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22 September 2024</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___________________</w:t>
            </w:r>
          </w:p>
        </w:tc>
      </w:tr>
      <w:tr>
        <w:tc>
          <w:tcPr>
            <w:tcW w:type="dxa" w:w="20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9"/>
                <w:szCs w:val="19"/>
              </w:rPr>
              <w:t xml:space="preserve">Disetujui oleh (Direktur Kepatuhan)</w:t>
            </w:r>
          </w:p>
        </w:tc>
        <w:tc>
          <w:tcPr>
            <w:tcW w:type="dxa" w:w="25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9"/>
                <w:szCs w:val="19"/>
              </w:rPr>
              <w:t xml:space="preserve">Christinawati Hadiman</w:t>
            </w:r>
          </w:p>
        </w:tc>
        <w:tc>
          <w:tcPr>
            <w:tcW w:type="dxa" w:w="2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25 September 2024</w:t>
            </w:r>
          </w:p>
        </w:tc>
        <w:tc>
          <w:tcPr>
            <w:tcW w:type="dxa" w:w="2526"/>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color w:val="000000"/>
                <w:sz w:val="19"/>
                <w:szCs w:val="19"/>
              </w:rPr>
              <w:t xml:space="preserve">___________________</w:t>
            </w:r>
          </w:p>
        </w:tc>
      </w:tr>
    </w:tbl>
    <w:p>
      <w:pPr>
        <w:spacing w:after="200" w:before="200"/>
      </w:pPr>
      <w:r>
        <w:rPr>
          <w:rFonts w:ascii="Arial" w:cs="Arial" w:eastAsia="Arial" w:hAnsi="Arial"/>
          <w:sz w:val="20"/>
          <w:szCs w:val="20"/>
        </w:rPr>
        <w:t xml:space="preserve"/>
      </w:r>
    </w:p>
    <w:p>
      <w:pPr>
        <w:pBdr>
          <w:bottom w:val="single" w:color="2E5FA3" w:sz="6" w:space="4"/>
        </w:pBdr>
        <w:spacing w:after="100" w:before="100"/>
      </w:pPr>
      <w:r>
        <w:rPr>
          <w:rFonts w:ascii="Arial" w:cs="Arial" w:eastAsia="Arial" w:hAnsi="Arial"/>
          <w:sz w:val="20"/>
          <w:szCs w:val="20"/>
        </w:rPr>
        <w:t xml:space="preserve"/>
      </w:r>
    </w:p>
    <w:p>
      <w:pPr>
        <w:spacing w:after="20" w:before="60"/>
      </w:pPr>
      <w:r>
        <w:rPr>
          <w:rFonts w:ascii="Arial" w:cs="Arial" w:eastAsia="Arial" w:hAnsi="Arial"/>
          <w:b/>
          <w:bCs/>
          <w:sz w:val="18"/>
          <w:szCs w:val="18"/>
        </w:rPr>
        <w:t xml:space="preserve">Catatan:</w:t>
      </w:r>
    </w:p>
    <w:p>
      <w:pPr>
        <w:spacing w:after="40" w:before="40"/>
        <w:jc w:val="both"/>
      </w:pPr>
      <w:r>
        <w:rPr>
          <w:rFonts w:ascii="Arial" w:cs="Arial" w:eastAsia="Arial" w:hAnsi="Arial"/>
          <w:sz w:val="18"/>
          <w:szCs w:val="18"/>
        </w:rPr>
        <w:t xml:space="preserve">Dokumen ini bersifat CONFIDENTIAL dan hanya boleh diakses oleh pihak-pihak yang berkepentingan langsung. Penyebarluasan dokumen ini tanpa izin tertulis dari Direktur Kepatuhan PT Equity Life Indonesia dilarang dan dapat menimbulkan konsekuensi hukum.</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40"/>
      <w:jc w:val="left"/>
    </w:pPr>
    <w:r>
      <w:rPr>
        <w:rFonts w:ascii="Arial" w:cs="Arial" w:eastAsia="Arial" w:hAnsi="Arial"/>
        <w:color w:val="888888"/>
        <w:sz w:val="16"/>
        <w:szCs w:val="16"/>
      </w:rPr>
      <w:t xml:space="preserve">CONFIDENTIAL — Hanya untuk kepentingan internal PT Equity Life Indonesia</w:t>
    </w:r>
    <w:r>
      <w:rPr>
        <w:rFonts w:ascii="Arial" w:cs="Arial" w:eastAsia="Arial" w:hAnsi="Arial"/>
        <w:sz w:val="16"/>
        <w:szCs w:val="16"/>
      </w:rPr>
      <w:t xml:space="preserve">	</w:t>
    </w:r>
    <w:r>
      <w:rPr>
        <w:rFonts w:ascii="Arial" w:cs="Arial" w:eastAsia="Arial" w:hAnsi="Arial"/>
        <w:color w:val="888888"/>
        <w:sz w:val="16"/>
        <w:szCs w:val="16"/>
      </w:rPr>
      <w:t xml:space="preserve">Hal.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spacing w:after="40"/>
      <w:jc w:val="left"/>
    </w:pPr>
    <w:r>
      <w:rPr>
        <w:rFonts w:ascii="Arial" w:cs="Arial" w:eastAsia="Arial" w:hAnsi="Arial"/>
        <w:b/>
        <w:bCs/>
        <w:color w:val="1A3A5C"/>
        <w:sz w:val="18"/>
        <w:szCs w:val="18"/>
      </w:rPr>
      <w:t xml:space="preserve">PT EQUITY LIFE INDONESIA — Data Protection Impact Assessment (DPIA)</w:t>
    </w:r>
    <w:r>
      <w:rPr>
        <w:rFonts w:ascii="Arial" w:cs="Arial" w:eastAsia="Arial" w:hAnsi="Arial"/>
        <w:sz w:val="18"/>
        <w:szCs w:val="18"/>
      </w:rPr>
      <w:t xml:space="preserve">	</w:t>
    </w:r>
    <w:r>
      <w:rPr>
        <w:rFonts w:ascii="Arial" w:cs="Arial" w:eastAsia="Arial" w:hAnsi="Arial"/>
        <w:color w:val="888888"/>
        <w:sz w:val="18"/>
        <w:szCs w:val="18"/>
      </w:rPr>
      <w:t xml:space="preserve">DPIA-ELI-OPS-001/2024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2026-03-16T13:21:34.407Z</dcterms:created>
  <dcterms:modified xsi:type="dcterms:W3CDTF">2026-03-16T13:21:34.407Z</dcterms:modified>
</cp:coreProperties>
</file>

<file path=docProps/custom.xml><?xml version="1.0" encoding="utf-8"?>
<Properties xmlns="http://schemas.openxmlformats.org/officeDocument/2006/custom-properties" xmlns:vt="http://schemas.openxmlformats.org/officeDocument/2006/docPropsVTypes"/>
</file>