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B4D35" w:val="clear"/>
            <w:tcMar>
              <w:top w:type="dxa" w:w="180"/>
              <w:left w:type="dxa" w:w="300"/>
              <w:bottom w:type="dxa" w:w="80"/>
              <w:right w:type="dxa" w:w="300"/>
            </w:tcMar>
          </w:tcPr>
          <w:p>
            <w:pPr>
              <w:spacing w:before="0" w:after="40"/>
              <w:jc w:val="center"/>
            </w:pPr>
            <w:r>
              <w:rPr>
                <w:rFonts w:ascii="Arial" w:cs="Arial" w:eastAsia="Arial" w:hAnsi="Arial"/>
                <w:b/>
                <w:bCs/>
                <w:i w:val="false"/>
                <w:iCs w:val="false"/>
                <w:color w:val="FFFFFF"/>
                <w:sz w:val="22"/>
                <w:szCs w:val="22"/>
              </w:rPr>
              <w:t xml:space="preserve">PT EQUITY LIFE INDONESIA</w:t>
            </w:r>
          </w:p>
          <w:p>
            <w:pPr>
              <w:spacing w:before="0" w:after="80"/>
              <w:jc w:val="center"/>
            </w:pPr>
            <w:r>
              <w:rPr>
                <w:rFonts w:ascii="Arial" w:cs="Arial" w:eastAsia="Arial" w:hAnsi="Arial"/>
                <w:b w:val="false"/>
                <w:bCs w:val="false"/>
                <w:i w:val="false"/>
                <w:iCs w:val="false"/>
                <w:color w:val="B8D4C6"/>
                <w:sz w:val="18"/>
                <w:szCs w:val="18"/>
              </w:rPr>
              <w:t xml:space="preserve">Divisi Teknologi Informasi &amp; Keamanan Informasi</w:t>
            </w:r>
          </w:p>
        </w:tc>
      </w:tr>
      <w:tr>
        <w:tc>
          <w:tcPr>
            <w:tcW w:type="dxa" w:w="9360"/>
            <w:tcBorders>
              <w:top w:val="single" w:color="BDBDBD" w:sz="1"/>
              <w:left w:val="single" w:color="BDBDBD" w:sz="1"/>
              <w:bottom w:val="single" w:color="BDBDBD" w:sz="1"/>
              <w:right w:val="single" w:color="BDBDBD" w:sz="1"/>
            </w:tcBorders>
            <w:shd w:fill="2D7A4F" w:val="clear"/>
            <w:tcMar>
              <w:top w:type="dxa" w:w="60"/>
              <w:left w:type="dxa" w:w="300"/>
              <w:bottom w:type="dxa" w:w="60"/>
              <w:right w:type="dxa" w:w="300"/>
            </w:tcMar>
          </w:tcPr>
          <w:p>
            <w:pPr>
              <w:spacing w:before="0" w:after="80"/>
              <w:jc w:val="center"/>
            </w:pPr>
            <w:r>
              <w:rPr>
                <w:rFonts w:ascii="Arial" w:cs="Arial" w:eastAsia="Arial" w:hAnsi="Arial"/>
                <w:b w:val="false"/>
                <w:bCs w:val="false"/>
                <w:i w:val="false"/>
                <w:iCs w:val="false"/>
                <w:color w:val="D6EDE0"/>
                <w:sz w:val="18"/>
                <w:szCs w:val="18"/>
              </w:rPr>
              <w:t xml:space="preserve">ELI-POL-ITS-005</w:t>
            </w:r>
          </w:p>
        </w:tc>
      </w:tr>
      <w:tr>
        <w:tc>
          <w:tcPr>
            <w:tcW w:type="dxa" w:w="9360"/>
            <w:tcBorders>
              <w:top w:val="single" w:color="BDBDBD" w:sz="1"/>
              <w:left w:val="single" w:color="BDBDBD" w:sz="1"/>
              <w:bottom w:val="single" w:color="BDBDBD" w:sz="1"/>
              <w:right w:val="single" w:color="BDBDBD" w:sz="1"/>
            </w:tcBorders>
            <w:shd w:fill="D6EDE0" w:val="clear"/>
            <w:tcMar>
              <w:top w:type="dxa" w:w="160"/>
              <w:left w:type="dxa" w:w="300"/>
              <w:bottom w:type="dxa" w:w="160"/>
              <w:right w:type="dxa" w:w="300"/>
            </w:tcMar>
          </w:tcPr>
          <w:p>
            <w:pPr>
              <w:spacing w:before="0" w:after="40"/>
              <w:jc w:val="center"/>
            </w:pPr>
            <w:r>
              <w:rPr>
                <w:rFonts w:ascii="Arial" w:cs="Arial" w:eastAsia="Arial" w:hAnsi="Arial"/>
                <w:b/>
                <w:bCs/>
                <w:i w:val="false"/>
                <w:iCs w:val="false"/>
                <w:color w:val="1B4D35"/>
                <w:sz w:val="32"/>
                <w:szCs w:val="32"/>
              </w:rPr>
              <w:t xml:space="preserve">KEBIJAKAN PERPINDAHAN INFORMASI</w:t>
            </w:r>
          </w:p>
          <w:p>
            <w:pPr>
              <w:spacing w:before="0" w:after="80"/>
              <w:jc w:val="center"/>
            </w:pPr>
            <w:r>
              <w:rPr>
                <w:rFonts w:ascii="Arial" w:cs="Arial" w:eastAsia="Arial" w:hAnsi="Arial"/>
                <w:b w:val="false"/>
                <w:bCs w:val="false"/>
                <w:i/>
                <w:iCs/>
                <w:color w:val="2D7A4F"/>
                <w:sz w:val="20"/>
                <w:szCs w:val="20"/>
              </w:rPr>
              <w:t xml:space="preserve">Information Transfer Policy — PT Equity Life Indonesia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Kode Dokumen</w:t>
            </w:r>
          </w:p>
        </w:tc>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Versi</w:t>
            </w:r>
          </w:p>
        </w:tc>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Status</w:t>
            </w:r>
          </w:p>
        </w:tc>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Klasifikasi</w:t>
            </w:r>
          </w:p>
        </w:tc>
      </w:tr>
      <w:tr>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val="false"/>
                <w:bCs w:val="false"/>
                <w:i w:val="false"/>
                <w:iCs w:val="false"/>
                <w:color w:val="1A1A1A"/>
                <w:sz w:val="20"/>
                <w:szCs w:val="20"/>
              </w:rPr>
              <w:t xml:space="preserve">ELI-POL-ITS-005</w:t>
            </w:r>
          </w:p>
        </w:tc>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val="false"/>
                <w:bCs w:val="false"/>
                <w:i w:val="false"/>
                <w:iCs w:val="false"/>
                <w:color w:val="1A1A1A"/>
                <w:sz w:val="20"/>
                <w:szCs w:val="20"/>
              </w:rPr>
              <w:t xml:space="preserve">v1.0</w:t>
            </w:r>
          </w:p>
        </w:tc>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val="false"/>
                <w:bCs w:val="false"/>
                <w:i w:val="false"/>
                <w:iCs w:val="false"/>
                <w:color w:val="1A1A1A"/>
                <w:sz w:val="20"/>
                <w:szCs w:val="20"/>
              </w:rPr>
              <w:t xml:space="preserve">Aktif</w:t>
            </w:r>
          </w:p>
        </w:tc>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val="false"/>
                <w:bCs w:val="false"/>
                <w:i w:val="false"/>
                <w:iCs w:val="false"/>
                <w:color w:val="1A1A1A"/>
                <w:sz w:val="20"/>
                <w:szCs w:val="20"/>
              </w:rPr>
              <w:t xml:space="preserve">INTERNAL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Pemilik Dokumen</w:t>
            </w:r>
          </w:p>
        </w:tc>
        <w:tc>
          <w:tcPr>
            <w:tcW w:type="dxa" w:w="7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CISO / IT Manager</w:t>
            </w:r>
          </w:p>
        </w:tc>
      </w:tr>
      <w:tr>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Berlaku untuk</w:t>
            </w:r>
          </w:p>
        </w:tc>
        <w:tc>
          <w:tcPr>
            <w:tcW w:type="dxa" w:w="7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Seluruh karyawan, vendor, mitra, dan pihak ketiga yang mengakses atau memindahkan informasi milik PT Equity Life Indonesia</w:t>
            </w:r>
          </w:p>
        </w:tc>
      </w:tr>
      <w:tr>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Tanggal Berlaku</w:t>
            </w:r>
          </w:p>
        </w:tc>
        <w:tc>
          <w:tcPr>
            <w:tcW w:type="dxa" w:w="7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2026-03-01</w:t>
            </w:r>
          </w:p>
        </w:tc>
      </w:tr>
      <w:tr>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Review Berikutnya</w:t>
            </w:r>
          </w:p>
        </w:tc>
        <w:tc>
          <w:tcPr>
            <w:tcW w:type="dxa" w:w="7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Tahunan atau jika terdapat perubahan regulasi / teknologi signifikan</w:t>
            </w:r>
          </w:p>
        </w:tc>
      </w:tr>
      <w:tr>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Referensi ISO</w:t>
            </w:r>
          </w:p>
        </w:tc>
        <w:tc>
          <w:tcPr>
            <w:tcW w:type="dxa" w:w="7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ISO/IEC 27001:2022 — A.5.14, A.8.13, A.8.20, A.8.26, A.8.24, A.8.16; ISO/IEC 27002:2022 Klausul 5.14; POJK No.11/2022; UU PDP No.27/2022</w:t>
            </w:r>
          </w:p>
        </w:tc>
      </w:tr>
    </w:tbl>
    <w:p>
      <w:pPr>
        <w:spacing w:after="100"/>
      </w:pPr>
      <w:r>
        <w:t xml:space="preserve"/>
      </w:r>
    </w:p>
    <w:p>
      <w:pPr>
        <w:pStyle w:val="Heading2"/>
        <w:spacing w:before="220" w:after="100"/>
      </w:pPr>
      <w:r>
        <w:rPr>
          <w:rFonts w:ascii="Arial" w:cs="Arial" w:eastAsia="Arial" w:hAnsi="Arial"/>
          <w:b/>
          <w:bCs/>
          <w:i w:val="false"/>
          <w:iCs w:val="false"/>
          <w:color w:val="2D7A4F"/>
          <w:sz w:val="26"/>
          <w:szCs w:val="26"/>
        </w:rPr>
        <w:t xml:space="preserve">Riwayat Versi</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000"/>
        <w:gridCol w:w="2000"/>
        <w:gridCol w:w="2560"/>
      </w:tblGrid>
      <w:tr>
        <w:tc>
          <w:tcPr>
            <w:tcW w:type="dxa" w:w="1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Versi</w:t>
            </w:r>
          </w:p>
        </w:tc>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Tanggal</w:t>
            </w:r>
          </w:p>
        </w:tc>
        <w:tc>
          <w:tcPr>
            <w:tcW w:type="dxa" w:w="2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Penulis</w:t>
            </w:r>
          </w:p>
        </w:tc>
        <w:tc>
          <w:tcPr>
            <w:tcW w:type="dxa" w:w="2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Reviewer</w:t>
            </w:r>
          </w:p>
        </w:tc>
        <w:tc>
          <w:tcPr>
            <w:tcW w:type="dxa" w:w="25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Deskripsi</w:t>
            </w:r>
          </w:p>
        </w:tc>
      </w:tr>
      <w:tr>
        <w:tc>
          <w:tcPr>
            <w:tcW w:type="dxa" w:w="1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val="false"/>
                <w:bCs w:val="false"/>
                <w:i w:val="false"/>
                <w:iCs w:val="false"/>
                <w:color w:val="1A1A1A"/>
                <w:sz w:val="20"/>
                <w:szCs w:val="20"/>
              </w:rPr>
              <w:t xml:space="preserve">v1.0</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2026-03-01</w:t>
            </w:r>
          </w:p>
        </w:tc>
        <w:tc>
          <w:tcPr>
            <w:tcW w:type="dxa" w:w="2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Security Team</w:t>
            </w:r>
          </w:p>
        </w:tc>
        <w:tc>
          <w:tcPr>
            <w:tcW w:type="dxa" w:w="2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CISO / IT Manager</w:t>
            </w:r>
          </w:p>
        </w:tc>
        <w:tc>
          <w:tcPr>
            <w:tcW w:type="dxa" w:w="2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Dokumen awal — Information Transfer Policy ELI</w:t>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1. PENDAHULUAN</w:t>
      </w:r>
    </w:p>
    <w:p>
      <w:pPr>
        <w:pStyle w:val="Heading2"/>
        <w:spacing w:before="220" w:after="100"/>
      </w:pPr>
      <w:r>
        <w:rPr>
          <w:rFonts w:ascii="Arial" w:cs="Arial" w:eastAsia="Arial" w:hAnsi="Arial"/>
          <w:b/>
          <w:bCs/>
          <w:i w:val="false"/>
          <w:iCs w:val="false"/>
          <w:color w:val="2D7A4F"/>
          <w:sz w:val="26"/>
          <w:szCs w:val="26"/>
        </w:rPr>
        <w:t xml:space="preserve">1.1 Latar Belakang</w:t>
      </w:r>
    </w:p>
    <w:p>
      <w:pPr>
        <w:spacing w:before="0" w:after="160"/>
        <w:jc w:val="left"/>
      </w:pPr>
      <w:r>
        <w:rPr>
          <w:rFonts w:ascii="Arial" w:cs="Arial" w:eastAsia="Arial" w:hAnsi="Arial"/>
          <w:b w:val="false"/>
          <w:bCs w:val="false"/>
          <w:i w:val="false"/>
          <w:iCs w:val="false"/>
          <w:color w:val="1A1A1A"/>
          <w:sz w:val="20"/>
          <w:szCs w:val="20"/>
        </w:rPr>
        <w:t xml:space="preserve">PT Equity Life Indonesia (ELI) mengelola dan memproses informasi yang sangat sensitif, mencakup data polis nasabah, data keuangan, data karyawan, serta informasi bisnis strategis. Perpindahan informasi — baik secara elektronik maupun fisik, internal maupun eksternal — merupakan salah satu titik kerentanan terbesar terhadap kebocoran data, intersepsi, dan ancaman keamanan informasi lainnya.</w:t>
      </w:r>
    </w:p>
    <w:p>
      <w:pPr>
        <w:spacing w:before="0" w:after="160"/>
        <w:jc w:val="left"/>
      </w:pPr>
      <w:r>
        <w:rPr>
          <w:rFonts w:ascii="Arial" w:cs="Arial" w:eastAsia="Arial" w:hAnsi="Arial"/>
          <w:b w:val="false"/>
          <w:bCs w:val="false"/>
          <w:i w:val="false"/>
          <w:iCs w:val="false"/>
          <w:color w:val="1A1A1A"/>
          <w:sz w:val="20"/>
          <w:szCs w:val="20"/>
        </w:rPr>
        <w:t xml:space="preserve">ISO/IEC 27001:2022 Annex A Kontrol 5.14 (Perpindahan Informasi) mewajibkan organisasi untuk menetapkan kebijakan, prosedur, dan perjanjian yang memastikan bahwa informasi yang dipindahkan terlindungi secara memadai selama proses transfer. Kebijakan ini merupakan implementasi langsung dari persyaratan tersebut, sekaligus memenuhi ketentuan UU Pelindungan Data Pribadi No.27/2022 (UU PDP) dan POJK No.11/2022.</w:t>
      </w:r>
    </w:p>
    <w:p>
      <w:pPr>
        <w:spacing w:after="80"/>
      </w:pPr>
      <w:r>
        <w:t xml:space="preserve"/>
      </w:r>
    </w:p>
    <w:p>
      <w:pPr>
        <w:pStyle w:val="Heading2"/>
        <w:spacing w:before="220" w:after="100"/>
      </w:pPr>
      <w:r>
        <w:rPr>
          <w:rFonts w:ascii="Arial" w:cs="Arial" w:eastAsia="Arial" w:hAnsi="Arial"/>
          <w:b/>
          <w:bCs/>
          <w:i w:val="false"/>
          <w:iCs w:val="false"/>
          <w:color w:val="2D7A4F"/>
          <w:sz w:val="26"/>
          <w:szCs w:val="26"/>
        </w:rPr>
        <w:t xml:space="preserve">1.2 Tujuan</w:t>
      </w:r>
    </w:p>
    <w:p>
      <w:pPr>
        <w:spacing w:before="0" w:after="100"/>
        <w:jc w:val="left"/>
      </w:pPr>
      <w:r>
        <w:rPr>
          <w:rFonts w:ascii="Arial" w:cs="Arial" w:eastAsia="Arial" w:hAnsi="Arial"/>
          <w:b w:val="false"/>
          <w:bCs w:val="false"/>
          <w:i w:val="false"/>
          <w:iCs w:val="false"/>
          <w:color w:val="1A1A1A"/>
          <w:sz w:val="20"/>
          <w:szCs w:val="20"/>
        </w:rPr>
        <w:t xml:space="preserve">Kebijakan ini bertujuan untuk:</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Menetapkan persyaratan minimum keamanan untuk semua jenis perpindahan informasi di ELI.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Melindungi kerahasiaan, integritas, dan ketersediaan informasi selama proses transfer.</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Mencegah kebocoran, intersepsi, atau modifikasi tidak sah atas informasi yang sedang dipindahkan.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Memastikan pihak penerima memiliki otorisasi yang tepat dan terikat oleh kewajiban kerahasiaan.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Menyediakan kerangka kerja yang memungkinkan audit dan penelusuran (auditability) atas semua transfer informasi sensitif.</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Memenuhi persyaratan regulasi OJK, UU PDP, dan standar ISO/IEC 27001:2022.</w:t>
      </w:r>
    </w:p>
    <w:p>
      <w:pPr>
        <w:spacing w:after="80"/>
      </w:pPr>
      <w:r>
        <w:t xml:space="preserve"/>
      </w:r>
    </w:p>
    <w:p>
      <w:pPr>
        <w:pStyle w:val="Heading2"/>
        <w:spacing w:before="220" w:after="100"/>
      </w:pPr>
      <w:r>
        <w:rPr>
          <w:rFonts w:ascii="Arial" w:cs="Arial" w:eastAsia="Arial" w:hAnsi="Arial"/>
          <w:b/>
          <w:bCs/>
          <w:i w:val="false"/>
          <w:iCs w:val="false"/>
          <w:color w:val="2D7A4F"/>
          <w:sz w:val="26"/>
          <w:szCs w:val="26"/>
        </w:rPr>
        <w:t xml:space="preserve">1.3 Ruang Lingkup</w:t>
      </w:r>
    </w:p>
    <w:p>
      <w:pPr>
        <w:spacing w:before="0" w:after="100"/>
        <w:jc w:val="left"/>
      </w:pPr>
      <w:r>
        <w:rPr>
          <w:rFonts w:ascii="Arial" w:cs="Arial" w:eastAsia="Arial" w:hAnsi="Arial"/>
          <w:b w:val="false"/>
          <w:bCs w:val="false"/>
          <w:i w:val="false"/>
          <w:iCs w:val="false"/>
          <w:color w:val="1A1A1A"/>
          <w:sz w:val="20"/>
          <w:szCs w:val="20"/>
        </w:rPr>
        <w:t xml:space="preserve">Kebijakan ini berlaku untuk semua bentuk perpindahan informasi yang melibatkan aset informasi ELI, meliputi: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Transfer elektronik: email, file transfer (SFTP/FTP/cloud), API/web service, pesan instan, media sharing.</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Transfer fisik: dokumen cetak, media penyimpanan portabel (USB, hard disk, CD/DVD), pengiriman pos/kurir.</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Transfer verbal: percakapan telepon, video conference, rapat tatap muka yang membahas informasi rahasia.</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Transfer antar sistem: integrasi aplikasi, migrasi data, replikasi database, backup/restore.</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Transfer kepada pihak eksternal: vendor, auditor, regulator, nasabah, mitra bisnis.</w:t>
      </w:r>
    </w:p>
    <w:p>
      <w:pPr>
        <w:spacing w:after="120"/>
      </w:pPr>
      <w:r>
        <w:t xml:space="preserve"/>
      </w:r>
    </w:p>
    <w:p>
      <w:pPr>
        <w:pStyle w:val="Heading1"/>
        <w:pageBreakBefore/>
      </w:pPr>
      <w:r>
        <w:rPr>
          <w:rFonts w:ascii="Arial" w:cs="Arial" w:eastAsia="Arial" w:hAnsi="Arial"/>
          <w:b/>
          <w:bCs/>
          <w:i w:val="false"/>
          <w:iCs w:val="false"/>
          <w:color w:val="1B4D35"/>
          <w:sz w:val="36"/>
          <w:szCs w:val="36"/>
        </w:rPr>
        <w:t xml:space="preserve">2. REFERENSI NORMATIF</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Referensi</w:t>
            </w:r>
          </w:p>
        </w:tc>
        <w:tc>
          <w:tcPr>
            <w:tcW w:type="dxa" w:w="43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Judul</w:t>
            </w:r>
          </w:p>
        </w:tc>
        <w:tc>
          <w:tcPr>
            <w:tcW w:type="dxa" w:w="26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Klausul / Pasal Relevan</w:t>
            </w:r>
          </w:p>
        </w:tc>
      </w:tr>
      <w:tr>
        <w:tc>
          <w:tcPr>
            <w:tcW w:type="dxa" w:w="2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ISO/IEC 27001:2022</w:t>
            </w:r>
          </w:p>
        </w:tc>
        <w:tc>
          <w:tcPr>
            <w:tcW w:type="dxa" w:w="4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ISMS Requirements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A.5.14, A.8.13, A.8.20, A.8.24, A.8.26</w:t>
            </w:r>
          </w:p>
        </w:tc>
      </w:tr>
      <w:tr>
        <w:tc>
          <w:tcPr>
            <w:tcW w:type="dxa" w:w="2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ISO/IEC 27002:2022</w:t>
            </w:r>
          </w:p>
        </w:tc>
        <w:tc>
          <w:tcPr>
            <w:tcW w:type="dxa" w:w="4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Information Security Controls — Guidance</w:t>
            </w:r>
          </w:p>
        </w:tc>
        <w:tc>
          <w:tcPr>
            <w:tcW w:type="dxa" w:w="2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5.14 (Information Transfer)</w:t>
            </w:r>
          </w:p>
        </w:tc>
      </w:tr>
      <w:tr>
        <w:tc>
          <w:tcPr>
            <w:tcW w:type="dxa" w:w="2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ISO/IEC 27018:2019</w:t>
            </w:r>
          </w:p>
        </w:tc>
        <w:tc>
          <w:tcPr>
            <w:tcW w:type="dxa" w:w="4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PII Protection in Public Clouds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Transfer data pribadi di cloud</w:t>
            </w:r>
          </w:p>
        </w:tc>
      </w:tr>
      <w:tr>
        <w:tc>
          <w:tcPr>
            <w:tcW w:type="dxa" w:w="2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UU No.27/2022</w:t>
            </w:r>
          </w:p>
        </w:tc>
        <w:tc>
          <w:tcPr>
            <w:tcW w:type="dxa" w:w="4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Undang-Undang Pelindungan Data Pribadi (UU PDP)</w:t>
            </w:r>
          </w:p>
        </w:tc>
        <w:tc>
          <w:tcPr>
            <w:tcW w:type="dxa" w:w="2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Pasal 16, 47, 50, 57</w:t>
            </w:r>
          </w:p>
        </w:tc>
      </w:tr>
      <w:tr>
        <w:tc>
          <w:tcPr>
            <w:tcW w:type="dxa" w:w="2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POJK No.11/2022</w:t>
            </w:r>
          </w:p>
        </w:tc>
        <w:tc>
          <w:tcPr>
            <w:tcW w:type="dxa" w:w="4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Tata Kelola TI — Perusahaan Perasuransian</w:t>
            </w:r>
          </w:p>
        </w:tc>
        <w:tc>
          <w:tcPr>
            <w:tcW w:type="dxa" w:w="2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Pasal 12, 25, 27</w:t>
            </w:r>
          </w:p>
        </w:tc>
      </w:tr>
      <w:tr>
        <w:tc>
          <w:tcPr>
            <w:tcW w:type="dxa" w:w="2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POJK No.6/2022</w:t>
            </w:r>
          </w:p>
        </w:tc>
        <w:tc>
          <w:tcPr>
            <w:tcW w:type="dxa" w:w="4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Perlindungan Konsumen — Sektor Keuangan</w:t>
            </w:r>
          </w:p>
        </w:tc>
        <w:tc>
          <w:tcPr>
            <w:tcW w:type="dxa" w:w="2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Data nasabah</w:t>
            </w:r>
          </w:p>
        </w:tc>
      </w:tr>
      <w:tr>
        <w:tc>
          <w:tcPr>
            <w:tcW w:type="dxa" w:w="2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PP No.71/2019</w:t>
            </w:r>
          </w:p>
        </w:tc>
        <w:tc>
          <w:tcPr>
            <w:tcW w:type="dxa" w:w="4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Penyelenggaraan Sistem dan Transaksi Elektronik</w:t>
            </w:r>
          </w:p>
        </w:tc>
        <w:tc>
          <w:tcPr>
            <w:tcW w:type="dxa" w:w="2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Pasal 14, 15, 16</w:t>
            </w:r>
          </w:p>
        </w:tc>
      </w:tr>
      <w:tr>
        <w:tc>
          <w:tcPr>
            <w:tcW w:type="dxa" w:w="2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NIST SP 800-111</w:t>
            </w:r>
          </w:p>
        </w:tc>
        <w:tc>
          <w:tcPr>
            <w:tcW w:type="dxa" w:w="4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Guide to Storage Encryption Technologies</w:t>
            </w:r>
          </w:p>
        </w:tc>
        <w:tc>
          <w:tcPr>
            <w:tcW w:type="dxa" w:w="2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Enkripsi media penyimpanan</w:t>
            </w:r>
          </w:p>
        </w:tc>
      </w:tr>
      <w:tr>
        <w:tc>
          <w:tcPr>
            <w:tcW w:type="dxa" w:w="2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ELI-POL-ITS-001</w:t>
            </w:r>
          </w:p>
        </w:tc>
        <w:tc>
          <w:tcPr>
            <w:tcW w:type="dxa" w:w="4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Kebijakan Keamanan Informasi ELI</w:t>
            </w:r>
          </w:p>
        </w:tc>
        <w:tc>
          <w:tcPr>
            <w:tcW w:type="dxa" w:w="2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Kebijakan induk ISMS</w:t>
            </w:r>
          </w:p>
        </w:tc>
      </w:tr>
      <w:tr>
        <w:tc>
          <w:tcPr>
            <w:tcW w:type="dxa" w:w="2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ELI-POL-ITS-004</w:t>
            </w:r>
          </w:p>
        </w:tc>
        <w:tc>
          <w:tcPr>
            <w:tcW w:type="dxa" w:w="4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Kebijakan Communication Plan</w:t>
            </w:r>
          </w:p>
        </w:tc>
        <w:tc>
          <w:tcPr>
            <w:tcW w:type="dxa" w:w="2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Prosedur komunikasi resmi</w:t>
            </w:r>
          </w:p>
        </w:tc>
      </w:tr>
      <w:tr>
        <w:tc>
          <w:tcPr>
            <w:tcW w:type="dxa" w:w="2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ELI-SOP-ITS-005</w:t>
            </w:r>
          </w:p>
        </w:tc>
        <w:tc>
          <w:tcPr>
            <w:tcW w:type="dxa" w:w="4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SOP Perpindahan Informasi</w:t>
            </w:r>
          </w:p>
        </w:tc>
        <w:tc>
          <w:tcPr>
            <w:tcW w:type="dxa" w:w="2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Prosedur pelaksanaan</w:t>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3. DEFINISI DAN SINGKATAN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Istilah / Singkatan</w:t>
            </w:r>
          </w:p>
        </w:tc>
        <w:tc>
          <w:tcPr>
            <w:tcW w:type="dxa" w:w="63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Definisi</w:t>
            </w:r>
          </w:p>
        </w:tc>
      </w:tr>
      <w:tr>
        <w:tc>
          <w:tcPr>
            <w:tcW w:type="dxa" w:w="3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Perpindahan Informasi</w:t>
            </w:r>
          </w:p>
        </w:tc>
        <w:tc>
          <w:tcPr>
            <w:tcW w:type="dxa" w:w="6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Setiap aktivitas yang melibatkan pemindahan, pengiriman, sharing, atau transmisi informasi dari satu pihak, sistem, atau lokasi ke pihak, sistem, atau lokasi lain, baik secara elektronik maupun fisik.</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Informasi Sensitif</w:t>
            </w:r>
          </w:p>
        </w:tc>
        <w:tc>
          <w:tcPr>
            <w:tcW w:type="dxa" w:w="6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Informasi yang termasuk dalam klasifikasi Rahasia (Confidential) atau Terbatas (Top Secret) sesuai kebijakan klasifikasi informasi ELI, termasuk namun tidak terbatas pada: data nasabah, data keuangan, data karyawan, dan data sistem IT.</w:t>
            </w:r>
          </w:p>
        </w:tc>
      </w:tr>
      <w:tr>
        <w:tc>
          <w:tcPr>
            <w:tcW w:type="dxa" w:w="3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Data Pribadi</w:t>
            </w:r>
          </w:p>
        </w:tc>
        <w:tc>
          <w:tcPr>
            <w:tcW w:type="dxa" w:w="6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Setiap informasi mengenai orang perseorangan yang teridentifikasi atau dapat diidentifikasi secara langsung maupun tidak langsung, sebagaimana didefinisikan dalam UU PDP No.27/2022.</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Transfer Elektronik</w:t>
            </w:r>
          </w:p>
        </w:tc>
        <w:tc>
          <w:tcPr>
            <w:tcW w:type="dxa" w:w="6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Perpindahan informasi melalui media elektronik atau jaringan komunikasi, termasuk email, SFTP, API, cloud storage, aplikasi pesan, dan media penyimpanan digital.</w:t>
            </w:r>
          </w:p>
        </w:tc>
      </w:tr>
      <w:tr>
        <w:tc>
          <w:tcPr>
            <w:tcW w:type="dxa" w:w="3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Transfer Fisik</w:t>
            </w:r>
          </w:p>
        </w:tc>
        <w:tc>
          <w:tcPr>
            <w:tcW w:type="dxa" w:w="6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Perpindahan informasi melalui media fisik, termasuk dokumen cetak, media penyimpanan portabel, dan pengiriman melalui jasa pos/kurir.</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Enkripsi</w:t>
            </w:r>
          </w:p>
        </w:tc>
        <w:tc>
          <w:tcPr>
            <w:tcW w:type="dxa" w:w="6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Proses pengubahan informasi menjadi format yang tidak dapat dibaca tanpa kunci dekripsi yang tepat, sehingga melindungi kerahasiaan informasi selama transfer atau penyimpanan.</w:t>
            </w:r>
          </w:p>
        </w:tc>
      </w:tr>
      <w:tr>
        <w:tc>
          <w:tcPr>
            <w:tcW w:type="dxa" w:w="3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End-to-End Encryption (E2EE)</w:t>
            </w:r>
          </w:p>
        </w:tc>
        <w:tc>
          <w:tcPr>
            <w:tcW w:type="dxa" w:w="6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Enkripsi di mana hanya pengirim dan penerima yang memiliki kunci untuk mendekripsi pesan; penyedia layanan pun tidak dapat membaca konten.</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Non-Disclosure Agreement (NDA)</w:t>
            </w:r>
          </w:p>
        </w:tc>
        <w:tc>
          <w:tcPr>
            <w:tcW w:type="dxa" w:w="6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Perjanjian kerahasiaan yang mengikat pihak penerima informasi untuk tidak mengungkapkan informasi rahasia kepada pihak ketiga tanpa izin.</w:t>
            </w:r>
          </w:p>
        </w:tc>
      </w:tr>
      <w:tr>
        <w:tc>
          <w:tcPr>
            <w:tcW w:type="dxa" w:w="3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Data Transfer Agreement (DTA)</w:t>
            </w:r>
          </w:p>
        </w:tc>
        <w:tc>
          <w:tcPr>
            <w:tcW w:type="dxa" w:w="6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Perjanjian formal yang mengatur syarat dan ketentuan transfer data antara ELI dan pihak ketiga, terutama lintas batas negara.</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Sender Policy Framework (SPF)</w:t>
            </w:r>
          </w:p>
        </w:tc>
        <w:tc>
          <w:tcPr>
            <w:tcW w:type="dxa" w:w="6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Mekanisme verifikasi email untuk mencegah spoofing/pemalsuan alamat pengirim.</w:t>
            </w:r>
          </w:p>
        </w:tc>
      </w:tr>
      <w:tr>
        <w:tc>
          <w:tcPr>
            <w:tcW w:type="dxa" w:w="3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DLP (Data Loss Prevention)</w:t>
            </w:r>
          </w:p>
        </w:tc>
        <w:tc>
          <w:tcPr>
            <w:tcW w:type="dxa" w:w="6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Teknologi dan prosedur untuk mencegah data sensitif keluar dari jaringan organisasi tanpa otorisasi.</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Checksum / Hash</w:t>
            </w:r>
          </w:p>
        </w:tc>
        <w:tc>
          <w:tcPr>
            <w:tcW w:type="dxa" w:w="6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Nilai kriptografis yang digunakan untuk memverifikasi integritas data setelah transfer; berubah jika data dimodifikasi.</w:t>
            </w:r>
          </w:p>
        </w:tc>
      </w:tr>
      <w:tr>
        <w:tc>
          <w:tcPr>
            <w:tcW w:type="dxa" w:w="3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Sanitasi Media</w:t>
            </w:r>
          </w:p>
        </w:tc>
        <w:tc>
          <w:tcPr>
            <w:tcW w:type="dxa" w:w="6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Proses penghapusan data secara aman dari media penyimpanan sehingga tidak dapat dipulihkan, dilakukan sebelum media dibuang, dipinjamkan, atau dikembalikan.</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Cross-Border Data Transfer</w:t>
            </w:r>
          </w:p>
        </w:tc>
        <w:tc>
          <w:tcPr>
            <w:tcW w:type="dxa" w:w="6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Transfer data pribadi yang melintasi batas wilayah yurisdiksi hukum negara yang berbeda.</w:t>
            </w:r>
          </w:p>
        </w:tc>
      </w:tr>
      <w:tr>
        <w:tc>
          <w:tcPr>
            <w:tcW w:type="dxa" w:w="3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PIC</w:t>
            </w:r>
          </w:p>
        </w:tc>
        <w:tc>
          <w:tcPr>
            <w:tcW w:type="dxa" w:w="6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Person in Charge — individu yang bertanggung jawab atas transfer informasi tertentu.</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CISO</w:t>
            </w:r>
          </w:p>
        </w:tc>
        <w:tc>
          <w:tcPr>
            <w:tcW w:type="dxa" w:w="6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Chief Information Security Officer.</w:t>
            </w:r>
          </w:p>
        </w:tc>
      </w:tr>
      <w:tr>
        <w:tc>
          <w:tcPr>
            <w:tcW w:type="dxa" w:w="3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DPO</w:t>
            </w:r>
          </w:p>
        </w:tc>
        <w:tc>
          <w:tcPr>
            <w:tcW w:type="dxa" w:w="6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Data Protection Officer — pejabat yang bertanggung jawab atas kepatuhan pelindungan data pribadi.</w:t>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4. KLASIFIKASI INFORMASI DAN PERSYARATAN TRANSFER</w:t>
      </w:r>
    </w:p>
    <w:p>
      <w:pPr>
        <w:pStyle w:val="Heading2"/>
        <w:spacing w:before="220" w:after="100"/>
      </w:pPr>
      <w:r>
        <w:rPr>
          <w:rFonts w:ascii="Arial" w:cs="Arial" w:eastAsia="Arial" w:hAnsi="Arial"/>
          <w:b/>
          <w:bCs/>
          <w:i w:val="false"/>
          <w:iCs w:val="false"/>
          <w:color w:val="2D7A4F"/>
          <w:sz w:val="26"/>
          <w:szCs w:val="26"/>
        </w:rPr>
        <w:t xml:space="preserve">4.1 Matriks Klasifikasi dan Kontrol Transfer</w:t>
      </w:r>
    </w:p>
    <w:p>
      <w:pPr>
        <w:spacing w:before="0" w:after="100"/>
        <w:jc w:val="left"/>
      </w:pPr>
      <w:r>
        <w:rPr>
          <w:rFonts w:ascii="Arial" w:cs="Arial" w:eastAsia="Arial" w:hAnsi="Arial"/>
          <w:b w:val="false"/>
          <w:bCs w:val="false"/>
          <w:i w:val="false"/>
          <w:iCs w:val="false"/>
          <w:color w:val="1A1A1A"/>
          <w:sz w:val="20"/>
          <w:szCs w:val="20"/>
        </w:rPr>
        <w:t xml:space="preserve">Persyaratan kontrol keamanan selama transfer disesuaikan dengan klasifikasi informasi yang dipindahkan: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260"/>
        <w:gridCol w:w="2200"/>
        <w:gridCol w:w="2000"/>
      </w:tblGrid>
      <w:tr>
        <w:tc>
          <w:tcPr>
            <w:tcW w:type="dxa" w:w="1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Klasifikasi</w:t>
            </w:r>
          </w:p>
        </w:tc>
        <w:tc>
          <w:tcPr>
            <w:tcW w:type="dxa" w:w="17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Definisi Singkat</w:t>
            </w:r>
          </w:p>
        </w:tc>
        <w:tc>
          <w:tcPr>
            <w:tcW w:type="dxa" w:w="22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Kontrol Transfer Elektronik</w:t>
            </w:r>
          </w:p>
        </w:tc>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Kontrol Transfer Fisik</w:t>
            </w:r>
          </w:p>
        </w:tc>
        <w:tc>
          <w:tcPr>
            <w:tcW w:type="dxa" w:w="2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Transfer Eksternal</w:t>
            </w:r>
          </w:p>
        </w:tc>
      </w:tr>
      <w:tr>
        <w:tc>
          <w:tcPr>
            <w:tcW w:type="dxa" w:w="1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TERBATAS
(Top Secret)</w:t>
            </w:r>
          </w:p>
        </w:tc>
        <w:tc>
          <w:tcPr>
            <w:tcW w:type="dxa" w:w="17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Informasi tertinggi; kompromisasi menyebabkan kerugian kritis</w:t>
            </w:r>
          </w:p>
        </w:tc>
        <w:tc>
          <w:tcPr>
            <w:tcW w:type="dxa" w:w="2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40"/>
              <w:jc w:val="left"/>
            </w:pPr>
            <w:r>
              <w:rPr>
                <w:rFonts w:ascii="Arial" w:cs="Arial" w:eastAsia="Arial" w:hAnsi="Arial"/>
                <w:b w:val="false"/>
                <w:bCs w:val="false"/>
                <w:i w:val="false"/>
                <w:iCs w:val="false"/>
                <w:color w:val="1A1A1A"/>
                <w:sz w:val="19"/>
                <w:szCs w:val="19"/>
              </w:rPr>
              <w:t xml:space="preserve">Enkripsi AES-256 wajib</w:t>
            </w:r>
          </w:p>
          <w:p>
            <w:pPr>
              <w:spacing w:before="0" w:after="40"/>
              <w:jc w:val="left"/>
            </w:pPr>
            <w:r>
              <w:rPr>
                <w:rFonts w:ascii="Arial" w:cs="Arial" w:eastAsia="Arial" w:hAnsi="Arial"/>
                <w:b w:val="false"/>
                <w:bCs w:val="false"/>
                <w:i w:val="false"/>
                <w:iCs w:val="false"/>
                <w:color w:val="1A1A1A"/>
                <w:sz w:val="19"/>
                <w:szCs w:val="19"/>
              </w:rPr>
              <w:t xml:space="preserve">E2EE atau saluran terenkripsi khusus</w:t>
            </w:r>
          </w:p>
          <w:p>
            <w:pPr>
              <w:spacing w:before="0" w:after="40"/>
              <w:jc w:val="left"/>
            </w:pPr>
            <w:r>
              <w:rPr>
                <w:rFonts w:ascii="Arial" w:cs="Arial" w:eastAsia="Arial" w:hAnsi="Arial"/>
                <w:b w:val="false"/>
                <w:bCs w:val="false"/>
                <w:i w:val="false"/>
                <w:iCs w:val="false"/>
                <w:color w:val="1A1A1A"/>
                <w:sz w:val="19"/>
                <w:szCs w:val="19"/>
              </w:rPr>
              <w:t xml:space="preserve">Dilarang via email biasa</w:t>
            </w:r>
          </w:p>
          <w:p>
            <w:pPr>
              <w:spacing w:before="0" w:after="80"/>
              <w:jc w:val="left"/>
            </w:pPr>
            <w:r>
              <w:rPr>
                <w:rFonts w:ascii="Arial" w:cs="Arial" w:eastAsia="Arial" w:hAnsi="Arial"/>
                <w:b w:val="false"/>
                <w:bCs w:val="false"/>
                <w:i w:val="false"/>
                <w:iCs w:val="false"/>
                <w:color w:val="1A1A1A"/>
                <w:sz w:val="19"/>
                <w:szCs w:val="19"/>
              </w:rPr>
              <w:t xml:space="preserve">Persetujuan CISO + Direksi</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40"/>
              <w:jc w:val="left"/>
            </w:pPr>
            <w:r>
              <w:rPr>
                <w:rFonts w:ascii="Arial" w:cs="Arial" w:eastAsia="Arial" w:hAnsi="Arial"/>
                <w:b w:val="false"/>
                <w:bCs w:val="false"/>
                <w:i w:val="false"/>
                <w:iCs w:val="false"/>
                <w:color w:val="1A1A1A"/>
                <w:sz w:val="19"/>
                <w:szCs w:val="19"/>
              </w:rPr>
              <w:t xml:space="preserve">Disegel &amp; dikunci</w:t>
            </w:r>
          </w:p>
          <w:p>
            <w:pPr>
              <w:spacing w:before="0" w:after="40"/>
              <w:jc w:val="left"/>
            </w:pPr>
            <w:r>
              <w:rPr>
                <w:rFonts w:ascii="Arial" w:cs="Arial" w:eastAsia="Arial" w:hAnsi="Arial"/>
                <w:b w:val="false"/>
                <w:bCs w:val="false"/>
                <w:i w:val="false"/>
                <w:iCs w:val="false"/>
                <w:color w:val="1A1A1A"/>
                <w:sz w:val="19"/>
                <w:szCs w:val="19"/>
              </w:rPr>
              <w:t xml:space="preserve">Kurir khusus terpercaya</w:t>
            </w:r>
          </w:p>
          <w:p>
            <w:pPr>
              <w:spacing w:before="0" w:after="40"/>
              <w:jc w:val="left"/>
            </w:pPr>
            <w:r>
              <w:rPr>
                <w:rFonts w:ascii="Arial" w:cs="Arial" w:eastAsia="Arial" w:hAnsi="Arial"/>
                <w:b w:val="false"/>
                <w:bCs w:val="false"/>
                <w:i w:val="false"/>
                <w:iCs w:val="false"/>
                <w:color w:val="1A1A1A"/>
                <w:sz w:val="19"/>
                <w:szCs w:val="19"/>
              </w:rPr>
              <w:t xml:space="preserve">Tanda terima wajib</w:t>
            </w:r>
          </w:p>
          <w:p>
            <w:pPr>
              <w:spacing w:before="0" w:after="80"/>
              <w:jc w:val="left"/>
            </w:pPr>
            <w:r>
              <w:rPr>
                <w:rFonts w:ascii="Arial" w:cs="Arial" w:eastAsia="Arial" w:hAnsi="Arial"/>
                <w:b w:val="false"/>
                <w:bCs w:val="false"/>
                <w:i w:val="false"/>
                <w:iCs w:val="false"/>
                <w:color w:val="1A1A1A"/>
                <w:sz w:val="19"/>
                <w:szCs w:val="19"/>
              </w:rPr>
              <w:t xml:space="preserve">Tracking/konfirmasi penerimaan</w:t>
            </w:r>
          </w:p>
        </w:tc>
        <w:tc>
          <w:tcPr>
            <w:tcW w:type="dxa" w:w="2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40"/>
              <w:jc w:val="left"/>
            </w:pPr>
            <w:r>
              <w:rPr>
                <w:rFonts w:ascii="Arial" w:cs="Arial" w:eastAsia="Arial" w:hAnsi="Arial"/>
                <w:b w:val="false"/>
                <w:bCs w:val="false"/>
                <w:i w:val="false"/>
                <w:iCs w:val="false"/>
                <w:color w:val="1A1A1A"/>
                <w:sz w:val="19"/>
                <w:szCs w:val="19"/>
              </w:rPr>
              <w:t xml:space="preserve">Hanya dengan DTA + NDA</w:t>
            </w:r>
          </w:p>
          <w:p>
            <w:pPr>
              <w:spacing w:before="0" w:after="40"/>
              <w:jc w:val="left"/>
            </w:pPr>
            <w:r>
              <w:rPr>
                <w:rFonts w:ascii="Arial" w:cs="Arial" w:eastAsia="Arial" w:hAnsi="Arial"/>
                <w:b w:val="false"/>
                <w:bCs w:val="false"/>
                <w:i w:val="false"/>
                <w:iCs w:val="false"/>
                <w:color w:val="1A1A1A"/>
                <w:sz w:val="19"/>
                <w:szCs w:val="19"/>
              </w:rPr>
              <w:t xml:space="preserve">Persetujuan Direksi wajib</w:t>
            </w:r>
          </w:p>
          <w:p>
            <w:pPr>
              <w:spacing w:before="0" w:after="80"/>
              <w:jc w:val="left"/>
            </w:pPr>
            <w:r>
              <w:rPr>
                <w:rFonts w:ascii="Arial" w:cs="Arial" w:eastAsia="Arial" w:hAnsi="Arial"/>
                <w:b w:val="false"/>
                <w:bCs w:val="false"/>
                <w:i w:val="false"/>
                <w:iCs w:val="false"/>
                <w:color w:val="1A1A1A"/>
                <w:sz w:val="19"/>
                <w:szCs w:val="19"/>
              </w:rPr>
              <w:t xml:space="preserve">Dilarang ke luar negeri tanpa izin OJK</w:t>
            </w:r>
          </w:p>
        </w:tc>
      </w:tr>
      <w:tr>
        <w:tc>
          <w:tcPr>
            <w:tcW w:type="dxa" w:w="1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RAHASIA
(Confidential)</w:t>
            </w:r>
          </w:p>
        </w:tc>
        <w:tc>
          <w:tcPr>
            <w:tcW w:type="dxa" w:w="1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Data nasabah, keuangan, konfigurasi sistem</w:t>
            </w:r>
          </w:p>
        </w:tc>
        <w:tc>
          <w:tcPr>
            <w:tcW w:type="dxa" w:w="22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top"/>
          </w:tcPr>
          <w:p>
            <w:pPr>
              <w:spacing w:before="0" w:after="40"/>
              <w:jc w:val="left"/>
            </w:pPr>
            <w:r>
              <w:rPr>
                <w:rFonts w:ascii="Arial" w:cs="Arial" w:eastAsia="Arial" w:hAnsi="Arial"/>
                <w:b w:val="false"/>
                <w:bCs w:val="false"/>
                <w:i w:val="false"/>
                <w:iCs w:val="false"/>
                <w:color w:val="1A1A1A"/>
                <w:sz w:val="19"/>
                <w:szCs w:val="19"/>
              </w:rPr>
              <w:t xml:space="preserve">Enkripsi TLS 1.2+ untuk transit</w:t>
            </w:r>
          </w:p>
          <w:p>
            <w:pPr>
              <w:spacing w:before="0" w:after="40"/>
              <w:jc w:val="left"/>
            </w:pPr>
            <w:r>
              <w:rPr>
                <w:rFonts w:ascii="Arial" w:cs="Arial" w:eastAsia="Arial" w:hAnsi="Arial"/>
                <w:b w:val="false"/>
                <w:bCs w:val="false"/>
                <w:i w:val="false"/>
                <w:iCs w:val="false"/>
                <w:color w:val="1A1A1A"/>
                <w:sz w:val="19"/>
                <w:szCs w:val="19"/>
              </w:rPr>
              <w:t xml:space="preserve">SFTP/FTPS; dilarang FTP plain</w:t>
            </w:r>
          </w:p>
          <w:p>
            <w:pPr>
              <w:spacing w:before="0" w:after="40"/>
              <w:jc w:val="left"/>
            </w:pPr>
            <w:r>
              <w:rPr>
                <w:rFonts w:ascii="Arial" w:cs="Arial" w:eastAsia="Arial" w:hAnsi="Arial"/>
                <w:b w:val="false"/>
                <w:bCs w:val="false"/>
                <w:i w:val="false"/>
                <w:iCs w:val="false"/>
                <w:color w:val="1A1A1A"/>
                <w:sz w:val="19"/>
                <w:szCs w:val="19"/>
              </w:rPr>
              <w:t xml:space="preserve">Email: enkripsi S/MIME atau password ZIP</w:t>
            </w:r>
          </w:p>
          <w:p>
            <w:pPr>
              <w:spacing w:before="0" w:after="80"/>
              <w:jc w:val="left"/>
            </w:pPr>
            <w:r>
              <w:rPr>
                <w:rFonts w:ascii="Arial" w:cs="Arial" w:eastAsia="Arial" w:hAnsi="Arial"/>
                <w:b w:val="false"/>
                <w:bCs w:val="false"/>
                <w:i w:val="false"/>
                <w:iCs w:val="false"/>
                <w:color w:val="1A1A1A"/>
                <w:sz w:val="19"/>
                <w:szCs w:val="19"/>
              </w:rPr>
              <w:t xml:space="preserve">Log transfer wajib</w:t>
            </w:r>
          </w:p>
        </w:tc>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top"/>
          </w:tcPr>
          <w:p>
            <w:pPr>
              <w:spacing w:before="0" w:after="40"/>
              <w:jc w:val="left"/>
            </w:pPr>
            <w:r>
              <w:rPr>
                <w:rFonts w:ascii="Arial" w:cs="Arial" w:eastAsia="Arial" w:hAnsi="Arial"/>
                <w:b w:val="false"/>
                <w:bCs w:val="false"/>
                <w:i w:val="false"/>
                <w:iCs w:val="false"/>
                <w:color w:val="1A1A1A"/>
                <w:sz w:val="19"/>
                <w:szCs w:val="19"/>
              </w:rPr>
              <w:t xml:space="preserve">Amplop tertutup; segel tamper-evident</w:t>
            </w:r>
          </w:p>
          <w:p>
            <w:pPr>
              <w:spacing w:before="0" w:after="40"/>
              <w:jc w:val="left"/>
            </w:pPr>
            <w:r>
              <w:rPr>
                <w:rFonts w:ascii="Arial" w:cs="Arial" w:eastAsia="Arial" w:hAnsi="Arial"/>
                <w:b w:val="false"/>
                <w:bCs w:val="false"/>
                <w:i w:val="false"/>
                <w:iCs w:val="false"/>
                <w:color w:val="1A1A1A"/>
                <w:sz w:val="19"/>
                <w:szCs w:val="19"/>
              </w:rPr>
              <w:t xml:space="preserve">Dilarang dikirim via pos biasa</w:t>
            </w:r>
          </w:p>
          <w:p>
            <w:pPr>
              <w:spacing w:before="0" w:after="80"/>
              <w:jc w:val="left"/>
            </w:pPr>
            <w:r>
              <w:rPr>
                <w:rFonts w:ascii="Arial" w:cs="Arial" w:eastAsia="Arial" w:hAnsi="Arial"/>
                <w:b w:val="false"/>
                <w:bCs w:val="false"/>
                <w:i w:val="false"/>
                <w:iCs w:val="false"/>
                <w:color w:val="1A1A1A"/>
                <w:sz w:val="19"/>
                <w:szCs w:val="19"/>
              </w:rPr>
              <w:t xml:space="preserve">Kurir resmi + tanda terima</w:t>
            </w:r>
          </w:p>
        </w:tc>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top"/>
          </w:tcPr>
          <w:p>
            <w:pPr>
              <w:spacing w:before="0" w:after="40"/>
              <w:jc w:val="left"/>
            </w:pPr>
            <w:r>
              <w:rPr>
                <w:rFonts w:ascii="Arial" w:cs="Arial" w:eastAsia="Arial" w:hAnsi="Arial"/>
                <w:b w:val="false"/>
                <w:bCs w:val="false"/>
                <w:i w:val="false"/>
                <w:iCs w:val="false"/>
                <w:color w:val="1A1A1A"/>
                <w:sz w:val="19"/>
                <w:szCs w:val="19"/>
              </w:rPr>
              <w:t xml:space="preserve">NDA wajib aktif</w:t>
            </w:r>
          </w:p>
          <w:p>
            <w:pPr>
              <w:spacing w:before="0" w:after="40"/>
              <w:jc w:val="left"/>
            </w:pPr>
            <w:r>
              <w:rPr>
                <w:rFonts w:ascii="Arial" w:cs="Arial" w:eastAsia="Arial" w:hAnsi="Arial"/>
                <w:b w:val="false"/>
                <w:bCs w:val="false"/>
                <w:i w:val="false"/>
                <w:iCs w:val="false"/>
                <w:color w:val="1A1A1A"/>
                <w:sz w:val="19"/>
                <w:szCs w:val="19"/>
              </w:rPr>
              <w:t xml:space="preserve">Verifikasi identitas penerima</w:t>
            </w:r>
          </w:p>
          <w:p>
            <w:pPr>
              <w:spacing w:before="0" w:after="80"/>
              <w:jc w:val="left"/>
            </w:pPr>
            <w:r>
              <w:rPr>
                <w:rFonts w:ascii="Arial" w:cs="Arial" w:eastAsia="Arial" w:hAnsi="Arial"/>
                <w:b w:val="false"/>
                <w:bCs w:val="false"/>
                <w:i w:val="false"/>
                <w:iCs w:val="false"/>
                <w:color w:val="1A1A1A"/>
                <w:sz w:val="19"/>
                <w:szCs w:val="19"/>
              </w:rPr>
              <w:t xml:space="preserve">Persetujuan IT Manager/CISO</w:t>
            </w:r>
          </w:p>
        </w:tc>
      </w:tr>
      <w:tr>
        <w:tc>
          <w:tcPr>
            <w:tcW w:type="dxa" w:w="1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INTERNAL
(Internal Only)</w:t>
            </w:r>
          </w:p>
        </w:tc>
        <w:tc>
          <w:tcPr>
            <w:tcW w:type="dxa" w:w="17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Informasi operasional; tidak untuk publik</w:t>
            </w:r>
          </w:p>
        </w:tc>
        <w:tc>
          <w:tcPr>
            <w:tcW w:type="dxa" w:w="22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40"/>
              <w:jc w:val="left"/>
            </w:pPr>
            <w:r>
              <w:rPr>
                <w:rFonts w:ascii="Arial" w:cs="Arial" w:eastAsia="Arial" w:hAnsi="Arial"/>
                <w:b w:val="false"/>
                <w:bCs w:val="false"/>
                <w:i w:val="false"/>
                <w:iCs w:val="false"/>
                <w:color w:val="1A1A1A"/>
                <w:sz w:val="19"/>
                <w:szCs w:val="19"/>
              </w:rPr>
              <w:t xml:space="preserve">Saluran korporat resmi wajib</w:t>
            </w:r>
          </w:p>
          <w:p>
            <w:pPr>
              <w:spacing w:before="0" w:after="40"/>
              <w:jc w:val="left"/>
            </w:pPr>
            <w:r>
              <w:rPr>
                <w:rFonts w:ascii="Arial" w:cs="Arial" w:eastAsia="Arial" w:hAnsi="Arial"/>
                <w:b w:val="false"/>
                <w:bCs w:val="false"/>
                <w:i w:val="false"/>
                <w:iCs w:val="false"/>
                <w:color w:val="1A1A1A"/>
                <w:sz w:val="19"/>
                <w:szCs w:val="19"/>
              </w:rPr>
              <w:t xml:space="preserve">Tidak boleh melalui akun pribadi</w:t>
            </w:r>
          </w:p>
          <w:p>
            <w:pPr>
              <w:spacing w:before="0" w:after="80"/>
              <w:jc w:val="left"/>
            </w:pPr>
            <w:r>
              <w:rPr>
                <w:rFonts w:ascii="Arial" w:cs="Arial" w:eastAsia="Arial" w:hAnsi="Arial"/>
                <w:b w:val="false"/>
                <w:bCs w:val="false"/>
                <w:i w:val="false"/>
                <w:iCs w:val="false"/>
                <w:color w:val="1A1A1A"/>
                <w:sz w:val="19"/>
                <w:szCs w:val="19"/>
              </w:rPr>
              <w:t xml:space="preserve">Log opsional</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40"/>
              <w:jc w:val="left"/>
            </w:pPr>
            <w:r>
              <w:rPr>
                <w:rFonts w:ascii="Arial" w:cs="Arial" w:eastAsia="Arial" w:hAnsi="Arial"/>
                <w:b w:val="false"/>
                <w:bCs w:val="false"/>
                <w:i w:val="false"/>
                <w:iCs w:val="false"/>
                <w:color w:val="1A1A1A"/>
                <w:sz w:val="19"/>
                <w:szCs w:val="19"/>
              </w:rPr>
              <w:t xml:space="preserve">Label 'INTERNAL' wajib</w:t>
            </w:r>
          </w:p>
          <w:p>
            <w:pPr>
              <w:spacing w:before="0" w:after="80"/>
              <w:jc w:val="left"/>
            </w:pPr>
            <w:r>
              <w:rPr>
                <w:rFonts w:ascii="Arial" w:cs="Arial" w:eastAsia="Arial" w:hAnsi="Arial"/>
                <w:b w:val="false"/>
                <w:bCs w:val="false"/>
                <w:i w:val="false"/>
                <w:iCs w:val="false"/>
                <w:color w:val="1A1A1A"/>
                <w:sz w:val="19"/>
                <w:szCs w:val="19"/>
              </w:rPr>
              <w:t xml:space="preserve">Tidak boleh dikirim ke alamat pribadi</w:t>
            </w:r>
          </w:p>
        </w:tc>
        <w:tc>
          <w:tcPr>
            <w:tcW w:type="dxa" w:w="2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40"/>
              <w:jc w:val="left"/>
            </w:pPr>
            <w:r>
              <w:rPr>
                <w:rFonts w:ascii="Arial" w:cs="Arial" w:eastAsia="Arial" w:hAnsi="Arial"/>
                <w:b w:val="false"/>
                <w:bCs w:val="false"/>
                <w:i w:val="false"/>
                <w:iCs w:val="false"/>
                <w:color w:val="1A1A1A"/>
                <w:sz w:val="19"/>
                <w:szCs w:val="19"/>
              </w:rPr>
              <w:t xml:space="preserve">Persetujuan IT Manager</w:t>
            </w:r>
          </w:p>
          <w:p>
            <w:pPr>
              <w:spacing w:before="0" w:after="80"/>
              <w:jc w:val="left"/>
            </w:pPr>
            <w:r>
              <w:rPr>
                <w:rFonts w:ascii="Arial" w:cs="Arial" w:eastAsia="Arial" w:hAnsi="Arial"/>
                <w:b w:val="false"/>
                <w:bCs w:val="false"/>
                <w:i w:val="false"/>
                <w:iCs w:val="false"/>
                <w:color w:val="1A1A1A"/>
                <w:sz w:val="19"/>
                <w:szCs w:val="19"/>
              </w:rPr>
              <w:t xml:space="preserve">NDA direkomendasikan</w:t>
            </w:r>
          </w:p>
        </w:tc>
      </w:tr>
      <w:tr>
        <w:tc>
          <w:tcPr>
            <w:tcW w:type="dxa" w:w="1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PUBLIK
(Public)</w:t>
            </w:r>
          </w:p>
        </w:tc>
        <w:tc>
          <w:tcPr>
            <w:tcW w:type="dxa" w:w="1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Informasi yang boleh diakses publik</w:t>
            </w:r>
          </w:p>
        </w:tc>
        <w:tc>
          <w:tcPr>
            <w:tcW w:type="dxa" w:w="22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top"/>
          </w:tcPr>
          <w:p>
            <w:pPr>
              <w:spacing w:before="0" w:after="40"/>
              <w:jc w:val="left"/>
            </w:pPr>
            <w:r>
              <w:rPr>
                <w:rFonts w:ascii="Arial" w:cs="Arial" w:eastAsia="Arial" w:hAnsi="Arial"/>
                <w:b w:val="false"/>
                <w:bCs w:val="false"/>
                <w:i w:val="false"/>
                <w:iCs w:val="false"/>
                <w:color w:val="1A1A1A"/>
                <w:sz w:val="19"/>
                <w:szCs w:val="19"/>
              </w:rPr>
              <w:t xml:space="preserve">Saluran apa pun diperbolehkan</w:t>
            </w:r>
          </w:p>
          <w:p>
            <w:pPr>
              <w:spacing w:before="0" w:after="80"/>
              <w:jc w:val="left"/>
            </w:pPr>
            <w:r>
              <w:rPr>
                <w:rFonts w:ascii="Arial" w:cs="Arial" w:eastAsia="Arial" w:hAnsi="Arial"/>
                <w:b w:val="false"/>
                <w:bCs w:val="false"/>
                <w:i w:val="false"/>
                <w:iCs w:val="false"/>
                <w:color w:val="1A1A1A"/>
                <w:sz w:val="19"/>
                <w:szCs w:val="19"/>
              </w:rPr>
              <w:t xml:space="preserve">Tidak memerlukan enkripsi khusus</w:t>
            </w:r>
          </w:p>
        </w:tc>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Tidak ada pembatasan khusus</w:t>
            </w:r>
          </w:p>
        </w:tc>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top"/>
          </w:tcPr>
          <w:p>
            <w:pPr>
              <w:spacing w:before="0" w:after="80"/>
              <w:jc w:val="left"/>
            </w:pPr>
            <w:r>
              <w:rPr>
                <w:rFonts w:ascii="Arial" w:cs="Arial" w:eastAsia="Arial" w:hAnsi="Arial"/>
                <w:b w:val="false"/>
                <w:bCs w:val="false"/>
                <w:i w:val="false"/>
                <w:iCs w:val="false"/>
                <w:color w:val="1A1A1A"/>
                <w:sz w:val="19"/>
                <w:szCs w:val="19"/>
              </w:rPr>
              <w:t xml:space="preserve">Tidak ada pembatasan khusus</w:t>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5. KEBIJAKAN TRANSFER ELEKTRONIK</w:t>
      </w:r>
    </w:p>
    <w:p>
      <w:pPr>
        <w:pStyle w:val="Heading2"/>
        <w:spacing w:before="220" w:after="100"/>
      </w:pPr>
      <w:r>
        <w:rPr>
          <w:rFonts w:ascii="Arial" w:cs="Arial" w:eastAsia="Arial" w:hAnsi="Arial"/>
          <w:b/>
          <w:bCs/>
          <w:i w:val="false"/>
          <w:iCs w:val="false"/>
          <w:color w:val="2D7A4F"/>
          <w:sz w:val="26"/>
          <w:szCs w:val="26"/>
        </w:rPr>
        <w:t xml:space="preserve">5.1 Email</w:t>
      </w:r>
    </w:p>
    <w:p>
      <w:pPr>
        <w:spacing w:before="0" w:after="100"/>
        <w:jc w:val="left"/>
      </w:pPr>
      <w:r>
        <w:rPr>
          <w:rFonts w:ascii="Arial" w:cs="Arial" w:eastAsia="Arial" w:hAnsi="Arial"/>
          <w:b w:val="false"/>
          <w:bCs w:val="false"/>
          <w:i w:val="false"/>
          <w:iCs w:val="false"/>
          <w:color w:val="1A1A1A"/>
          <w:sz w:val="20"/>
          <w:szCs w:val="20"/>
        </w:rPr>
        <w:t xml:space="preserve">5.1.1  Ketentuan Umum</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Email korporat (@equitylife.co.id) adalah satu-satunya saluran email resmi yang diizinkan untuk mengirim informasi Internal, Rahasia, atau Terbatas.</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Email pribadi (Gmail, Yahoo, Hotmail, dll.) DILARANG digunakan untuk mengirim atau menerima informasi yang diklasifikasikan Internal ke atas.</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Informasi Rahasia yang dikirim via email WAJIB dienkripsi menggunakan S/MIME atau disertakan sebagai lampiran terproteksi password (minimum AES-256).</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Password untuk lampiran terenkripsi WAJIB dikirimkan melalui saluran yang berbeda (misal: SMS atau telepon), tidak dalam email yang sama.</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Sebelum mengirim, pengirim wajib memverifikasi kembali alamat email penerima untuk mencegah kesalahan kirim (misdirected email).</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Informasi Terbatas DILARANG dikirim via email dalam kondisi apa pun; gunakan saluran terenkripsi khusus yang disetujui CISO.</w:t>
      </w:r>
    </w:p>
    <w:p>
      <w:pPr>
        <w:spacing w:after="80"/>
      </w:pPr>
      <w:r>
        <w:t xml:space="preserve"/>
      </w:r>
    </w:p>
    <w:p>
      <w:pPr>
        <w:spacing w:before="0" w:after="100"/>
        <w:jc w:val="left"/>
      </w:pPr>
      <w:r>
        <w:rPr>
          <w:rFonts w:ascii="Arial" w:cs="Arial" w:eastAsia="Arial" w:hAnsi="Arial"/>
          <w:b w:val="false"/>
          <w:bCs w:val="false"/>
          <w:i w:val="false"/>
          <w:iCs w:val="false"/>
          <w:color w:val="1A1A1A"/>
          <w:sz w:val="20"/>
          <w:szCs w:val="20"/>
        </w:rPr>
        <w:t xml:space="preserve">5.1.2  Konfigurasi Teknis Email</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Server email ELI wajib dikonfigurasi dengan SPF, DKIM, dan DMARC untuk mencegah email spoofing.</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Seluruh email transit menggunakan TLS minimum versi 1.2.</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DLP (Data Loss Prevention) tool diterapkan untuk mendeteksi dan mencegah pengiriman data sensitif secara tidak sengaja.</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Attachment yang mengandung data nasabah atau data keuangan harus discanning oleh anti-malware sebelum dikirim.</w:t>
      </w:r>
    </w:p>
    <w:p>
      <w:pPr>
        <w:spacing w:after="120"/>
      </w:pPr>
      <w:r>
        <w:t xml:space="preserve"/>
      </w:r>
    </w:p>
    <w:p>
      <w:pPr>
        <w:pStyle w:val="Heading2"/>
        <w:spacing w:before="220" w:after="100"/>
      </w:pPr>
      <w:r>
        <w:rPr>
          <w:rFonts w:ascii="Arial" w:cs="Arial" w:eastAsia="Arial" w:hAnsi="Arial"/>
          <w:b/>
          <w:bCs/>
          <w:i w:val="false"/>
          <w:iCs w:val="false"/>
          <w:color w:val="2D7A4F"/>
          <w:sz w:val="26"/>
          <w:szCs w:val="26"/>
        </w:rPr>
        <w:t xml:space="preserve">5.2 Secure File Transfer</w:t>
      </w:r>
    </w:p>
    <w:p>
      <w:pPr>
        <w:spacing w:before="0" w:after="100"/>
        <w:jc w:val="left"/>
      </w:pPr>
      <w:r>
        <w:rPr>
          <w:rFonts w:ascii="Arial" w:cs="Arial" w:eastAsia="Arial" w:hAnsi="Arial"/>
          <w:b w:val="false"/>
          <w:bCs w:val="false"/>
          <w:i w:val="false"/>
          <w:iCs w:val="false"/>
          <w:color w:val="1A1A1A"/>
          <w:sz w:val="20"/>
          <w:szCs w:val="20"/>
        </w:rPr>
        <w:t xml:space="preserve">5.2.1  Protokol yang Diizinkan dan Dilarang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3560"/>
        <w:gridCol w:w="3400"/>
      </w:tblGrid>
      <w:tr>
        <w:tc>
          <w:tcPr>
            <w:tcW w:type="dxa" w:w="14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Protokol</w:t>
            </w:r>
          </w:p>
        </w:tc>
        <w:tc>
          <w:tcPr>
            <w:tcW w:type="dxa" w:w="1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Status</w:t>
            </w:r>
          </w:p>
        </w:tc>
        <w:tc>
          <w:tcPr>
            <w:tcW w:type="dxa" w:w="35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Persyaratan</w:t>
            </w:r>
          </w:p>
        </w:tc>
        <w:tc>
          <w:tcPr>
            <w:tcW w:type="dxa" w:w="34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Keterangan</w:t>
            </w:r>
          </w:p>
        </w:tc>
      </w:tr>
      <w:tr>
        <w:tc>
          <w:tcPr>
            <w:tcW w:type="dxa" w:w="1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SFTP (SSH File Transfer Protocol)</w:t>
            </w:r>
          </w:p>
        </w:tc>
        <w:tc>
          <w:tcPr>
            <w:tcW w:type="dxa" w:w="1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DIIZINKAN</w:t>
            </w:r>
          </w:p>
        </w:tc>
        <w:tc>
          <w:tcPr>
            <w:tcW w:type="dxa" w:w="3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Autentikasi SSH key wajib; TLS 1.2+; log transfer</w:t>
            </w:r>
          </w:p>
        </w:tc>
        <w:tc>
          <w:tcPr>
            <w:tcW w:type="dxa" w:w="3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Standar utama untuk file transfer ke/dari vendor</w:t>
            </w:r>
          </w:p>
        </w:tc>
      </w:tr>
      <w:tr>
        <w:tc>
          <w:tcPr>
            <w:tcW w:type="dxa" w:w="1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FTPS (FTP over TLS)</w:t>
            </w:r>
          </w:p>
        </w:tc>
        <w:tc>
          <w:tcPr>
            <w:tcW w:type="dxa" w:w="1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DIIZINKAN</w:t>
            </w:r>
          </w:p>
        </w:tc>
        <w:tc>
          <w:tcPr>
            <w:tcW w:type="dxa" w:w="3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Sertifikat valid; TLS 1.2+; log transfer</w:t>
            </w:r>
          </w:p>
        </w:tc>
        <w:tc>
          <w:tcPr>
            <w:tcW w:type="dxa" w:w="3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Alternatif jika SFTP tidak didukung mitra</w:t>
            </w:r>
          </w:p>
        </w:tc>
      </w:tr>
      <w:tr>
        <w:tc>
          <w:tcPr>
            <w:tcW w:type="dxa" w:w="1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HTTPS (web-based)</w:t>
            </w:r>
          </w:p>
        </w:tc>
        <w:tc>
          <w:tcPr>
            <w:tcW w:type="dxa" w:w="1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DIIZINKAN</w:t>
            </w:r>
          </w:p>
        </w:tc>
        <w:tc>
          <w:tcPr>
            <w:tcW w:type="dxa" w:w="3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Sertifikat TLS valid; EV Certificate untuk portal sensitif</w:t>
            </w:r>
          </w:p>
        </w:tc>
        <w:tc>
          <w:tcPr>
            <w:tcW w:type="dxa" w:w="3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Upload/download melalui portal web resmi ELI</w:t>
            </w:r>
          </w:p>
        </w:tc>
      </w:tr>
      <w:tr>
        <w:tc>
          <w:tcPr>
            <w:tcW w:type="dxa" w:w="1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SCP</w:t>
            </w:r>
          </w:p>
        </w:tc>
        <w:tc>
          <w:tcPr>
            <w:tcW w:type="dxa" w:w="1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DIIZINKAN</w:t>
            </w:r>
          </w:p>
        </w:tc>
        <w:tc>
          <w:tcPr>
            <w:tcW w:type="dxa" w:w="3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SSH key autentikasi; hanya untuk transfer internal</w:t>
            </w:r>
          </w:p>
        </w:tc>
        <w:tc>
          <w:tcPr>
            <w:tcW w:type="dxa" w:w="3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Transfer antar server internal</w:t>
            </w:r>
          </w:p>
        </w:tc>
      </w:tr>
      <w:tr>
        <w:tc>
          <w:tcPr>
            <w:tcW w:type="dxa" w:w="1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FTP (plain)</w:t>
            </w:r>
          </w:p>
        </w:tc>
        <w:tc>
          <w:tcPr>
            <w:tcW w:type="dxa" w:w="1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DILARANG</w:t>
            </w:r>
          </w:p>
        </w:tc>
        <w:tc>
          <w:tcPr>
            <w:tcW w:type="dxa" w:w="3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t>
            </w:r>
          </w:p>
        </w:tc>
        <w:tc>
          <w:tcPr>
            <w:tcW w:type="dxa" w:w="3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Tidak ada enkripsi; rawan intersepsi</w:t>
            </w:r>
          </w:p>
        </w:tc>
      </w:tr>
      <w:tr>
        <w:tc>
          <w:tcPr>
            <w:tcW w:type="dxa" w:w="1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HTTP (plain)</w:t>
            </w:r>
          </w:p>
        </w:tc>
        <w:tc>
          <w:tcPr>
            <w:tcW w:type="dxa" w:w="1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DILARANG</w:t>
            </w:r>
          </w:p>
        </w:tc>
        <w:tc>
          <w:tcPr>
            <w:tcW w:type="dxa" w:w="3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t>
            </w:r>
          </w:p>
        </w:tc>
        <w:tc>
          <w:tcPr>
            <w:tcW w:type="dxa" w:w="3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Tidak ada enkripsi; rawan intersepsi</w:t>
            </w:r>
          </w:p>
        </w:tc>
      </w:tr>
      <w:tr>
        <w:tc>
          <w:tcPr>
            <w:tcW w:type="dxa" w:w="1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Email attachment (file besar)</w:t>
            </w:r>
          </w:p>
        </w:tc>
        <w:tc>
          <w:tcPr>
            <w:tcW w:type="dxa" w:w="1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DILARANG untuk Rahasia/Terbatas</w:t>
            </w:r>
          </w:p>
        </w:tc>
        <w:tc>
          <w:tcPr>
            <w:tcW w:type="dxa" w:w="3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t>
            </w:r>
          </w:p>
        </w:tc>
        <w:tc>
          <w:tcPr>
            <w:tcW w:type="dxa" w:w="3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Gunakan SFTP atau platform berbagi aman</w:t>
            </w:r>
          </w:p>
        </w:tc>
      </w:tr>
    </w:tbl>
    <w:p>
      <w:pPr>
        <w:spacing w:after="80"/>
      </w:pPr>
      <w:r>
        <w:t xml:space="preserve"/>
      </w:r>
    </w:p>
    <w:p>
      <w:pPr>
        <w:spacing w:before="0" w:after="100"/>
        <w:jc w:val="left"/>
      </w:pPr>
      <w:r>
        <w:rPr>
          <w:rFonts w:ascii="Arial" w:cs="Arial" w:eastAsia="Arial" w:hAnsi="Arial"/>
          <w:b w:val="false"/>
          <w:bCs w:val="false"/>
          <w:i w:val="false"/>
          <w:iCs w:val="false"/>
          <w:color w:val="1A1A1A"/>
          <w:sz w:val="20"/>
          <w:szCs w:val="20"/>
        </w:rPr>
        <w:t xml:space="preserve">5.2.2  Ketentuan Penggunaan SFTP</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Direktori SFTP untuk transfer eksternal (vendor/mitra) wajib dipisahkan dari direktori internal.</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Akun SFTP untuk pihak eksternal memiliki masa berlaku maksimal sesuai durasi proyek/kontrak dan dicabut segera setelah selesai.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Log transfer (nama file, ukuran, waktu, user, IP sumber) disimpan minimum 1 tahun dan dapat diaudit.</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File yang diunggah oleh pihak eksternal wajib discanning oleh antivirus/anti-malware sebelum diproses.</w:t>
      </w:r>
    </w:p>
    <w:p>
      <w:pPr>
        <w:spacing w:after="120"/>
      </w:pPr>
      <w:r>
        <w:t xml:space="preserve"/>
      </w:r>
    </w:p>
    <w:p>
      <w:pPr>
        <w:pStyle w:val="Heading2"/>
        <w:spacing w:before="220" w:after="100"/>
      </w:pPr>
      <w:r>
        <w:rPr>
          <w:rFonts w:ascii="Arial" w:cs="Arial" w:eastAsia="Arial" w:hAnsi="Arial"/>
          <w:b/>
          <w:bCs/>
          <w:i w:val="false"/>
          <w:iCs w:val="false"/>
          <w:color w:val="2D7A4F"/>
          <w:sz w:val="26"/>
          <w:szCs w:val="26"/>
        </w:rPr>
        <w:t xml:space="preserve">5.3 Cloud Storage dan Platform Berbagi File</w:t>
      </w:r>
    </w:p>
    <w:p>
      <w:pPr>
        <w:spacing w:before="0" w:after="100"/>
        <w:jc w:val="left"/>
      </w:pPr>
      <w:r>
        <w:rPr>
          <w:rFonts w:ascii="Arial" w:cs="Arial" w:eastAsia="Arial" w:hAnsi="Arial"/>
          <w:b w:val="false"/>
          <w:bCs w:val="false"/>
          <w:i w:val="false"/>
          <w:iCs w:val="false"/>
          <w:color w:val="1A1A1A"/>
          <w:sz w:val="20"/>
          <w:szCs w:val="20"/>
        </w:rPr>
        <w:t xml:space="preserve">5.3.1  Platform yang Diizinkan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360"/>
        <w:gridCol w:w="2400"/>
      </w:tblGrid>
      <w:tr>
        <w:tc>
          <w:tcPr>
            <w:tcW w:type="dxa" w:w="2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Platform</w:t>
            </w:r>
          </w:p>
        </w:tc>
        <w:tc>
          <w:tcPr>
            <w:tcW w:type="dxa" w:w="16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Klasifikasi Maks.</w:t>
            </w:r>
          </w:p>
        </w:tc>
        <w:tc>
          <w:tcPr>
            <w:tcW w:type="dxa" w:w="33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Syarat Penggunaan</w:t>
            </w:r>
          </w:p>
        </w:tc>
        <w:tc>
          <w:tcPr>
            <w:tcW w:type="dxa" w:w="24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Dilarang untuk</w:t>
            </w:r>
          </w:p>
        </w:tc>
      </w:tr>
      <w:tr>
        <w:tc>
          <w:tcPr>
            <w:tcW w:type="dxa" w:w="2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SharePoint Online (M365 ELI)</w:t>
            </w:r>
          </w:p>
        </w:tc>
        <w:tc>
          <w:tcPr>
            <w:tcW w:type="dxa" w:w="1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RAHASIA</w:t>
            </w:r>
          </w:p>
        </w:tc>
        <w:tc>
          <w:tcPr>
            <w:tcW w:type="dxa" w:w="3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Akun korporat; MFA aktif; permission dikelola IT</w:t>
            </w:r>
          </w:p>
        </w:tc>
        <w:tc>
          <w:tcPr>
            <w:tcW w:type="dxa" w:w="2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Informasi TERBATAS</w:t>
            </w:r>
          </w:p>
        </w:tc>
      </w:tr>
      <w:tr>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OneDrive for Business (M365 ELI)</w:t>
            </w:r>
          </w:p>
        </w:tc>
        <w:tc>
          <w:tcPr>
            <w:tcW w:type="dxa" w:w="1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INTERNAL</w:t>
            </w:r>
          </w:p>
        </w:tc>
        <w:tc>
          <w:tcPr>
            <w:tcW w:type="dxa" w:w="3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Akun korporat; tidak boleh sharing eksternal tanpa izin IT Manager</w:t>
            </w:r>
          </w:p>
        </w:tc>
        <w:tc>
          <w:tcPr>
            <w:tcW w:type="dxa" w:w="2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Informasi RAHASIA ke atas</w:t>
            </w:r>
          </w:p>
        </w:tc>
      </w:tr>
      <w:tr>
        <w:tc>
          <w:tcPr>
            <w:tcW w:type="dxa" w:w="2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Platform berbagi yang disetujui CISO</w:t>
            </w:r>
          </w:p>
        </w:tc>
        <w:tc>
          <w:tcPr>
            <w:tcW w:type="dxa" w:w="1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RAHASIA (case-by-case)</w:t>
            </w:r>
          </w:p>
        </w:tc>
        <w:tc>
          <w:tcPr>
            <w:tcW w:type="dxa" w:w="3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Evaluasi keamanan dan NDA vendor wajib</w:t>
            </w:r>
          </w:p>
        </w:tc>
        <w:tc>
          <w:tcPr>
            <w:tcW w:type="dxa" w:w="2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Sesuai keputusan CISO</w:t>
            </w:r>
          </w:p>
        </w:tc>
      </w:tr>
      <w:tr>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Google Drive pribadi</w:t>
            </w:r>
          </w:p>
        </w:tc>
        <w:tc>
          <w:tcPr>
            <w:tcW w:type="dxa" w:w="1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DILARANG</w:t>
            </w:r>
          </w:p>
        </w:tc>
        <w:tc>
          <w:tcPr>
            <w:tcW w:type="dxa" w:w="3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t>
            </w:r>
          </w:p>
        </w:tc>
        <w:tc>
          <w:tcPr>
            <w:tcW w:type="dxa" w:w="2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Semua klasifikasi</w:t>
            </w:r>
          </w:p>
        </w:tc>
      </w:tr>
      <w:tr>
        <w:tc>
          <w:tcPr>
            <w:tcW w:type="dxa" w:w="2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Dropbox pribadi</w:t>
            </w:r>
          </w:p>
        </w:tc>
        <w:tc>
          <w:tcPr>
            <w:tcW w:type="dxa" w:w="1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DILARANG</w:t>
            </w:r>
          </w:p>
        </w:tc>
        <w:tc>
          <w:tcPr>
            <w:tcW w:type="dxa" w:w="3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Semua klasifikasi</w:t>
            </w:r>
          </w:p>
        </w:tc>
      </w:tr>
      <w:tr>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WeTransfer / platform publik</w:t>
            </w:r>
          </w:p>
        </w:tc>
        <w:tc>
          <w:tcPr>
            <w:tcW w:type="dxa" w:w="1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DILARANG</w:t>
            </w:r>
          </w:p>
        </w:tc>
        <w:tc>
          <w:tcPr>
            <w:tcW w:type="dxa" w:w="3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t>
            </w:r>
          </w:p>
        </w:tc>
        <w:tc>
          <w:tcPr>
            <w:tcW w:type="dxa" w:w="2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Semua klasifikasi</w:t>
            </w:r>
          </w:p>
        </w:tc>
      </w:tr>
    </w:tbl>
    <w:p>
      <w:pPr>
        <w:spacing w:after="80"/>
      </w:pPr>
      <w:r>
        <w:t xml:space="preserve"/>
      </w:r>
    </w:p>
    <w:p>
      <w:pPr>
        <w:spacing w:before="0" w:after="100"/>
        <w:jc w:val="left"/>
      </w:pPr>
      <w:r>
        <w:rPr>
          <w:rFonts w:ascii="Arial" w:cs="Arial" w:eastAsia="Arial" w:hAnsi="Arial"/>
          <w:b w:val="false"/>
          <w:bCs w:val="false"/>
          <w:i w:val="false"/>
          <w:iCs w:val="false"/>
          <w:color w:val="1A1A1A"/>
          <w:sz w:val="20"/>
          <w:szCs w:val="20"/>
        </w:rPr>
        <w:t xml:space="preserve">5.3.2  Ketentuan Cloud Storage</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Setiap folder/file yang dibagikan kepada pihak eksternal melalui platform cloud resmi wajib memiliki batas waktu akses (expiry date).</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Izin sharing (permission) tidak boleh diatur ke 'Anyone with link' untuk informasi Internal ke atas.</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Audit log akses cloud storage ditinjau oleh IT Security minimal setiap 3 bulan.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Data Rahasia yang disimpan di cloud wajib dienkripsi di sisi klien (client-side encryption) sebelum diunggah, kecuali platform telah memenuhi standar enkripsi ELI dan disetujui CISO.</w:t>
      </w:r>
    </w:p>
    <w:p>
      <w:pPr>
        <w:spacing w:after="120"/>
      </w:pPr>
      <w:r>
        <w:t xml:space="preserve"/>
      </w:r>
    </w:p>
    <w:p>
      <w:pPr>
        <w:pStyle w:val="Heading2"/>
        <w:spacing w:before="220" w:after="100"/>
      </w:pPr>
      <w:r>
        <w:rPr>
          <w:rFonts w:ascii="Arial" w:cs="Arial" w:eastAsia="Arial" w:hAnsi="Arial"/>
          <w:b/>
          <w:bCs/>
          <w:i w:val="false"/>
          <w:iCs w:val="false"/>
          <w:color w:val="2D7A4F"/>
          <w:sz w:val="26"/>
          <w:szCs w:val="26"/>
        </w:rPr>
        <w:t xml:space="preserve">5.4 Aplikasi Pesan Instan dan Kolaborasi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Informasi Internal hanya boleh dibagikan melalui platform kolaborasi resmi ELI (Microsoft Teams versi korporat).</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WhatsApp, Telegram, LINE, dan aplikasi pesan pribadi lainnya DILARANG untuk berbagi informasi Internal ke atas.</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Informasi Rahasia TIDAK BOLEH dibagikan melalui pesan instan dalam bentuk apa pun, termasuk via Teams, kecuali untuk koordinasi darurat P1 dengan persetujuan CISO dan harus segera didokumentasikan secara resmi.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File yang dibagikan melalui Teams wajib di-scan antivirus sebelum dibuka.</w:t>
      </w:r>
    </w:p>
    <w:p>
      <w:pPr>
        <w:spacing w:after="120"/>
      </w:pPr>
      <w:r>
        <w:t xml:space="preserve"/>
      </w:r>
    </w:p>
    <w:p>
      <w:pPr>
        <w:pStyle w:val="Heading2"/>
        <w:spacing w:before="220" w:after="100"/>
      </w:pPr>
      <w:r>
        <w:rPr>
          <w:rFonts w:ascii="Arial" w:cs="Arial" w:eastAsia="Arial" w:hAnsi="Arial"/>
          <w:b/>
          <w:bCs/>
          <w:i w:val="false"/>
          <w:iCs w:val="false"/>
          <w:color w:val="2D7A4F"/>
          <w:sz w:val="26"/>
          <w:szCs w:val="26"/>
        </w:rPr>
        <w:t xml:space="preserve">5.5 API dan Web Service</w:t>
      </w:r>
    </w:p>
    <w:p>
      <w:pPr>
        <w:spacing w:before="0" w:after="100"/>
        <w:jc w:val="left"/>
      </w:pPr>
      <w:r>
        <w:rPr>
          <w:rFonts w:ascii="Arial" w:cs="Arial" w:eastAsia="Arial" w:hAnsi="Arial"/>
          <w:b w:val="false"/>
          <w:bCs w:val="false"/>
          <w:i w:val="false"/>
          <w:iCs w:val="false"/>
          <w:color w:val="1A1A1A"/>
          <w:sz w:val="20"/>
          <w:szCs w:val="20"/>
        </w:rPr>
        <w:t xml:space="preserve">Seluruh API yang digunakan untuk transfer data antara sistem ELI dan pihak ketiga wajib memenuhi persyaratan berikut:</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Autentikasi: OAuth 2.0, API Key, atau mutual TLS (mTLS) — tidak boleh menggunakan autentikasi plain text.</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Enkripsi: TLS 1.2 minimum; TLS 1.3 direkomendasikan untuk API baru.</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Rate limiting dan throttling wajib dikonfigurasi untuk mencegah data scraping.</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API yang mengekspos data nasabah wajib menggunakan field-level encryption untuk field sensitif (NIK, nomor polis, rekening).</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Seluruh API endpoint eksternal wajib terdaftar dalam API gateway dan dikelola oleh IT Security.</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Security testing (SAST/DAST) wajib dilakukan pada setiap API baru sebelum go-live.</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Log akses API (timestamp, endpoint, user/API key, IP sumber, response code) disimpan minimum 1 tahun.</w:t>
      </w:r>
    </w:p>
    <w:p>
      <w:pPr>
        <w:spacing w:after="120"/>
      </w:pPr>
      <w:r>
        <w:t xml:space="preserve"/>
      </w:r>
    </w:p>
    <w:p>
      <w:pPr>
        <w:pStyle w:val="Heading2"/>
        <w:spacing w:before="220" w:after="100"/>
      </w:pPr>
      <w:r>
        <w:rPr>
          <w:rFonts w:ascii="Arial" w:cs="Arial" w:eastAsia="Arial" w:hAnsi="Arial"/>
          <w:b/>
          <w:bCs/>
          <w:i w:val="false"/>
          <w:iCs w:val="false"/>
          <w:color w:val="2D7A4F"/>
          <w:sz w:val="26"/>
          <w:szCs w:val="26"/>
        </w:rPr>
        <w:t xml:space="preserve">5.6 Pertukaran Data Elektronik Antar Sistem (EDI / Integrasi)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Seluruh integrasi sistem yang melibatkan transfer data nasabah atau data keuangan wajib menggunakan koneksi terenkripsi (TLS 1.2+).</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Integrity check (checksum SHA-256 atau lebih kuat) wajib dilakukan setelah setiap transfer batch untuk memverifikasi keutuhan data.</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Koneksi integrasi dengan pihak ketiga wajib dilindungi oleh firewall dan hanya IP yang diizinkan (whitelist) yang dapat mengakses endpoint.</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Data yang ditransfer dalam proses integrasi wajib dipetakan dalam Data Flow Diagram (DFD) yang diperbarui setiap tahun.</w:t>
      </w:r>
    </w:p>
    <w:p>
      <w:pPr>
        <w:spacing w:after="120"/>
      </w:pPr>
      <w:r>
        <w:t xml:space="preserve"/>
      </w:r>
    </w:p>
    <w:p>
      <w:pPr>
        <w:pStyle w:val="Heading1"/>
        <w:pageBreakBefore/>
      </w:pPr>
      <w:r>
        <w:rPr>
          <w:rFonts w:ascii="Arial" w:cs="Arial" w:eastAsia="Arial" w:hAnsi="Arial"/>
          <w:b/>
          <w:bCs/>
          <w:i w:val="false"/>
          <w:iCs w:val="false"/>
          <w:color w:val="1B4D35"/>
          <w:sz w:val="36"/>
          <w:szCs w:val="36"/>
        </w:rPr>
        <w:t xml:space="preserve">6. KEBIJAKAN TRANSFER FISIK</w:t>
      </w:r>
    </w:p>
    <w:p>
      <w:pPr>
        <w:pStyle w:val="Heading2"/>
        <w:spacing w:before="220" w:after="100"/>
      </w:pPr>
      <w:r>
        <w:rPr>
          <w:rFonts w:ascii="Arial" w:cs="Arial" w:eastAsia="Arial" w:hAnsi="Arial"/>
          <w:b/>
          <w:bCs/>
          <w:i w:val="false"/>
          <w:iCs w:val="false"/>
          <w:color w:val="2D7A4F"/>
          <w:sz w:val="26"/>
          <w:szCs w:val="26"/>
        </w:rPr>
        <w:t xml:space="preserve">6.1 Dokumen Fisik</w:t>
      </w:r>
    </w:p>
    <w:p>
      <w:pPr>
        <w:spacing w:before="0" w:after="100"/>
        <w:jc w:val="left"/>
      </w:pPr>
      <w:r>
        <w:rPr>
          <w:rFonts w:ascii="Arial" w:cs="Arial" w:eastAsia="Arial" w:hAnsi="Arial"/>
          <w:b w:val="false"/>
          <w:bCs w:val="false"/>
          <w:i w:val="false"/>
          <w:iCs w:val="false"/>
          <w:color w:val="1A1A1A"/>
          <w:sz w:val="20"/>
          <w:szCs w:val="20"/>
        </w:rPr>
        <w:t xml:space="preserve">6.1.1  Persiapan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Dokumen yang diklasifikasikan Rahasia atau Terbatas wajib diberi label klasifikasi yang terlihat jelas pada setiap halaman (header atau footer).</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Dokumen Terbatas wajib menggunakan watermark 'TERBATAS — PT EQUITY LIFE INDONESIA' pada setiap halaman.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Dokumen Rahasia yang akan dikirimkan ke pihak eksternal wajib mendapat nomor kendali dokumen (document control number) dan dicatat dalam log pengiriman.</w:t>
      </w:r>
    </w:p>
    <w:p>
      <w:pPr>
        <w:spacing w:after="80"/>
      </w:pPr>
      <w:r>
        <w:t xml:space="preserve"/>
      </w:r>
    </w:p>
    <w:p>
      <w:pPr>
        <w:spacing w:before="0" w:after="100"/>
        <w:jc w:val="left"/>
      </w:pPr>
      <w:r>
        <w:rPr>
          <w:rFonts w:ascii="Arial" w:cs="Arial" w:eastAsia="Arial" w:hAnsi="Arial"/>
          <w:b w:val="false"/>
          <w:bCs w:val="false"/>
          <w:i w:val="false"/>
          <w:iCs w:val="false"/>
          <w:color w:val="1A1A1A"/>
          <w:sz w:val="20"/>
          <w:szCs w:val="20"/>
        </w:rPr>
        <w:t xml:space="preserve">6.1.2  Pengemasan dan Pengiriman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Dokumen Rahasia dikirimkan dalam amplop berlapis dua: amplop dalam ditutup dan disegel, amplop luar polos tanpa identifikasi konten.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Dokumen Terbatas hanya boleh dikirimkan melalui kurir resmi ELI atau jasa pengiriman yang telah disetujui CISO dengan layanan pelacakan (tracking) dan konfirmasi penerimaan.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Tanda tangan penerimaan (proof of delivery) wajib diperoleh untuk dokumen Rahasia dan Terbatas.</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Dokumen tidak boleh ditinggalkan tanpa pengawasan di lokasi pengiriman atau di area publik.</w:t>
      </w:r>
    </w:p>
    <w:p>
      <w:pPr>
        <w:spacing w:after="80"/>
      </w:pPr>
      <w:r>
        <w:t xml:space="preserve"/>
      </w:r>
    </w:p>
    <w:p>
      <w:pPr>
        <w:spacing w:before="0" w:after="100"/>
        <w:jc w:val="left"/>
      </w:pPr>
      <w:r>
        <w:rPr>
          <w:rFonts w:ascii="Arial" w:cs="Arial" w:eastAsia="Arial" w:hAnsi="Arial"/>
          <w:b w:val="false"/>
          <w:bCs w:val="false"/>
          <w:i w:val="false"/>
          <w:iCs w:val="false"/>
          <w:color w:val="1A1A1A"/>
          <w:sz w:val="20"/>
          <w:szCs w:val="20"/>
        </w:rPr>
        <w:t xml:space="preserve">6.1.3  Penggunaan Jasa Kurir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Klasifikasi</w:t>
            </w:r>
          </w:p>
        </w:tc>
        <w:tc>
          <w:tcPr>
            <w:tcW w:type="dxa" w:w="3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Jasa Kurir yang Diizinkan</w:t>
            </w:r>
          </w:p>
        </w:tc>
        <w:tc>
          <w:tcPr>
            <w:tcW w:type="dxa" w:w="43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Persyaratan Tambahan</w:t>
            </w:r>
          </w:p>
        </w:tc>
      </w:tr>
      <w:tr>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TERBATAS</w:t>
            </w:r>
          </w:p>
        </w:tc>
        <w:tc>
          <w:tcPr>
            <w:tcW w:type="dxa" w:w="3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Kurir internal ELI atau kurir khusus terpercaya (kontrak)</w:t>
            </w:r>
          </w:p>
        </w:tc>
        <w:tc>
          <w:tcPr>
            <w:tcW w:type="dxa" w:w="4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Tanda terima wajib; tracking real-time; NDA kurir aktif</w:t>
            </w:r>
          </w:p>
        </w:tc>
      </w:tr>
      <w:tr>
        <w:tc>
          <w:tcPr>
            <w:tcW w:type="dxa" w:w="1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RAHASIA</w:t>
            </w:r>
          </w:p>
        </w:tc>
        <w:tc>
          <w:tcPr>
            <w:tcW w:type="dxa" w:w="3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Jasa kurir resmi dengan layanan recorded delivery</w:t>
            </w:r>
          </w:p>
        </w:tc>
        <w:tc>
          <w:tcPr>
            <w:tcW w:type="dxa" w:w="4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Tanda terima; no drop-off di loker/kotak pos</w:t>
            </w:r>
          </w:p>
        </w:tc>
      </w:tr>
      <w:tr>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INTERNAL</w:t>
            </w:r>
          </w:p>
        </w:tc>
        <w:tc>
          <w:tcPr>
            <w:tcW w:type="dxa" w:w="3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Jasa kurir komersial terpercaya</w:t>
            </w:r>
          </w:p>
        </w:tc>
        <w:tc>
          <w:tcPr>
            <w:tcW w:type="dxa" w:w="4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Bukti pengiriman direkomendasikan</w:t>
            </w:r>
          </w:p>
        </w:tc>
      </w:tr>
      <w:tr>
        <w:tc>
          <w:tcPr>
            <w:tcW w:type="dxa" w:w="1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PUBLIK</w:t>
            </w:r>
          </w:p>
        </w:tc>
        <w:tc>
          <w:tcPr>
            <w:tcW w:type="dxa" w:w="3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Jasa kurir apa pun</w:t>
            </w:r>
          </w:p>
        </w:tc>
        <w:tc>
          <w:tcPr>
            <w:tcW w:type="dxa" w:w="4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Tidak ada persyaratan khusus</w:t>
            </w:r>
          </w:p>
        </w:tc>
      </w:tr>
    </w:tbl>
    <w:p>
      <w:pPr>
        <w:spacing w:after="120"/>
      </w:pPr>
      <w:r>
        <w:t xml:space="preserve"/>
      </w:r>
    </w:p>
    <w:p>
      <w:pPr>
        <w:pStyle w:val="Heading2"/>
        <w:spacing w:before="220" w:after="100"/>
      </w:pPr>
      <w:r>
        <w:rPr>
          <w:rFonts w:ascii="Arial" w:cs="Arial" w:eastAsia="Arial" w:hAnsi="Arial"/>
          <w:b/>
          <w:bCs/>
          <w:i w:val="false"/>
          <w:iCs w:val="false"/>
          <w:color w:val="2D7A4F"/>
          <w:sz w:val="26"/>
          <w:szCs w:val="26"/>
        </w:rPr>
        <w:t xml:space="preserve">6.2 Media Penyimpanan Portabel</w:t>
      </w:r>
    </w:p>
    <w:p>
      <w:pPr>
        <w:spacing w:before="0" w:after="100"/>
        <w:jc w:val="left"/>
      </w:pPr>
      <w:r>
        <w:rPr>
          <w:rFonts w:ascii="Arial" w:cs="Arial" w:eastAsia="Arial" w:hAnsi="Arial"/>
          <w:b w:val="false"/>
          <w:bCs w:val="false"/>
          <w:i w:val="false"/>
          <w:iCs w:val="false"/>
          <w:color w:val="1A1A1A"/>
          <w:sz w:val="20"/>
          <w:szCs w:val="20"/>
        </w:rPr>
        <w:t xml:space="preserve">6.2.1  Jenis Media yang Diizinkan dan Dilarang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360"/>
        <w:gridCol w:w="3200"/>
      </w:tblGrid>
      <w:tr>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Media</w:t>
            </w:r>
          </w:p>
        </w:tc>
        <w:tc>
          <w:tcPr>
            <w:tcW w:type="dxa" w:w="1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Status</w:t>
            </w:r>
          </w:p>
        </w:tc>
        <w:tc>
          <w:tcPr>
            <w:tcW w:type="dxa" w:w="33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Persyaratan Penggunaan</w:t>
            </w:r>
          </w:p>
        </w:tc>
        <w:tc>
          <w:tcPr>
            <w:tcW w:type="dxa" w:w="3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Keterangan</w:t>
            </w:r>
          </w:p>
        </w:tc>
      </w:tr>
      <w:tr>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USB/Flash drive terenkripsi (ELI-issued)</w:t>
            </w:r>
          </w:p>
        </w:tc>
        <w:tc>
          <w:tcPr>
            <w:tcW w:type="dxa" w:w="1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DIIZINKAN</w:t>
            </w:r>
          </w:p>
        </w:tc>
        <w:tc>
          <w:tcPr>
            <w:tcW w:type="dxa" w:w="3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Enkripsi AES-256 hardware; dikeluarkan oleh IT; log penggunaan</w:t>
            </w:r>
          </w:p>
        </w:tc>
        <w:tc>
          <w:tcPr>
            <w:tcW w:type="dxa" w:w="3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Hanya media yang dikeluarkan resmi oleh IT ELI</w:t>
            </w:r>
          </w:p>
        </w:tc>
      </w:tr>
      <w:tr>
        <w:tc>
          <w:tcPr>
            <w:tcW w:type="dxa" w:w="1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CD/DVD (produksi terkontrol)</w:t>
            </w:r>
          </w:p>
        </w:tc>
        <w:tc>
          <w:tcPr>
            <w:tcW w:type="dxa" w:w="1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DIIZINKAN bersyarat</w:t>
            </w:r>
          </w:p>
        </w:tc>
        <w:tc>
          <w:tcPr>
            <w:tcW w:type="dxa" w:w="3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Hanya untuk keperluan khusus; persetujuan IT Manager; data dienkripsi</w:t>
            </w:r>
          </w:p>
        </w:tc>
        <w:tc>
          <w:tcPr>
            <w:tcW w:type="dxa" w:w="3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Digunakan jika tidak ada alternatif elektronik aman</w:t>
            </w:r>
          </w:p>
        </w:tc>
      </w:tr>
      <w:tr>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External hard disk (ELI-issued, terenkripsi)</w:t>
            </w:r>
          </w:p>
        </w:tc>
        <w:tc>
          <w:tcPr>
            <w:tcW w:type="dxa" w:w="1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DIIZINKAN</w:t>
            </w:r>
          </w:p>
        </w:tc>
        <w:tc>
          <w:tcPr>
            <w:tcW w:type="dxa" w:w="3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Enkripsi BitLocker/FileVault; ELI-managed; log check-in/out</w:t>
            </w:r>
          </w:p>
        </w:tc>
        <w:tc>
          <w:tcPr>
            <w:tcW w:type="dxa" w:w="3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Untuk transfer data volume besar yang disetujui</w:t>
            </w:r>
          </w:p>
        </w:tc>
      </w:tr>
      <w:tr>
        <w:tc>
          <w:tcPr>
            <w:tcW w:type="dxa" w:w="1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USB/Flash drive pribadi</w:t>
            </w:r>
          </w:p>
        </w:tc>
        <w:tc>
          <w:tcPr>
            <w:tcW w:type="dxa" w:w="1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DILARANG</w:t>
            </w:r>
          </w:p>
        </w:tc>
        <w:tc>
          <w:tcPr>
            <w:tcW w:type="dxa" w:w="3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t>
            </w:r>
          </w:p>
        </w:tc>
        <w:tc>
          <w:tcPr>
            <w:tcW w:type="dxa" w:w="3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Risiko malware &amp; data exfiltration</w:t>
            </w:r>
          </w:p>
        </w:tc>
      </w:tr>
      <w:tr>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CD/DVD yang tidak terkontrol</w:t>
            </w:r>
          </w:p>
        </w:tc>
        <w:tc>
          <w:tcPr>
            <w:tcW w:type="dxa" w:w="1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DILARANG</w:t>
            </w:r>
          </w:p>
        </w:tc>
        <w:tc>
          <w:tcPr>
            <w:tcW w:type="dxa" w:w="3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t>
            </w:r>
          </w:p>
        </w:tc>
        <w:tc>
          <w:tcPr>
            <w:tcW w:type="dxa" w:w="3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Tidak dapat diverifikasi atau dilacak</w:t>
            </w:r>
          </w:p>
        </w:tc>
      </w:tr>
      <w:tr>
        <w:tc>
          <w:tcPr>
            <w:tcW w:type="dxa" w:w="1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Media penyimpanan cloud tidak resmi</w:t>
            </w:r>
          </w:p>
        </w:tc>
        <w:tc>
          <w:tcPr>
            <w:tcW w:type="dxa" w:w="1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DILARANG</w:t>
            </w:r>
          </w:p>
        </w:tc>
        <w:tc>
          <w:tcPr>
            <w:tcW w:type="dxa" w:w="3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t>
            </w:r>
          </w:p>
        </w:tc>
        <w:tc>
          <w:tcPr>
            <w:tcW w:type="dxa" w:w="3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Google Drive, Dropbox, dll.</w:t>
            </w:r>
          </w:p>
        </w:tc>
      </w:tr>
    </w:tbl>
    <w:p>
      <w:pPr>
        <w:spacing w:after="80"/>
      </w:pPr>
      <w:r>
        <w:t xml:space="preserve"/>
      </w:r>
    </w:p>
    <w:p>
      <w:pPr>
        <w:spacing w:before="0" w:after="100"/>
        <w:jc w:val="left"/>
      </w:pPr>
      <w:r>
        <w:rPr>
          <w:rFonts w:ascii="Arial" w:cs="Arial" w:eastAsia="Arial" w:hAnsi="Arial"/>
          <w:b w:val="false"/>
          <w:bCs w:val="false"/>
          <w:i w:val="false"/>
          <w:iCs w:val="false"/>
          <w:color w:val="1A1A1A"/>
          <w:sz w:val="20"/>
          <w:szCs w:val="20"/>
        </w:rPr>
        <w:t xml:space="preserve">6.2.2  Ketentuan Penggunaan Media Penyimpanan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Setiap penggunaan media penyimpanan portabel yang dikeluarkan oleh IT wajib dicatat: nama pengguna, tanggal pinjam, tanggal kembali, konten/tujuan.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Media yang membawa informasi Rahasia atau Terbatas tidak boleh ditinggalkan tanpa pengawasan di tempat umum, kendaraan, atau lokasi yang tidak aman.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Media yang hilang atau dicuri wajib dilaporkan kepada IT Manager dan CISO dalam 1 jam sejak diketahui hilang.</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Media yang sudah tidak digunakan wajib melalui proses sanitasi (secure wipe DOD 5220.22-M atau degaussing) sebelum dibuang atau digunakan ulang.</w:t>
      </w:r>
    </w:p>
    <w:p>
      <w:pPr>
        <w:spacing w:after="120"/>
      </w:pPr>
      <w:r>
        <w:t xml:space="preserve"/>
      </w:r>
    </w:p>
    <w:p>
      <w:pPr>
        <w:pStyle w:val="Heading2"/>
        <w:spacing w:before="220" w:after="100"/>
      </w:pPr>
      <w:r>
        <w:rPr>
          <w:rFonts w:ascii="Arial" w:cs="Arial" w:eastAsia="Arial" w:hAnsi="Arial"/>
          <w:b/>
          <w:bCs/>
          <w:i w:val="false"/>
          <w:iCs w:val="false"/>
          <w:color w:val="2D7A4F"/>
          <w:sz w:val="26"/>
          <w:szCs w:val="26"/>
        </w:rPr>
        <w:t xml:space="preserve">6.3 Transfer Verbal (Lisan)</w:t>
      </w:r>
    </w:p>
    <w:p>
      <w:pPr>
        <w:spacing w:before="0" w:after="100"/>
        <w:jc w:val="left"/>
      </w:pPr>
      <w:r>
        <w:rPr>
          <w:rFonts w:ascii="Arial" w:cs="Arial" w:eastAsia="Arial" w:hAnsi="Arial"/>
          <w:b w:val="false"/>
          <w:bCs w:val="false"/>
          <w:i w:val="false"/>
          <w:iCs w:val="false"/>
          <w:color w:val="1A1A1A"/>
          <w:sz w:val="20"/>
          <w:szCs w:val="20"/>
        </w:rPr>
        <w:t xml:space="preserve">Informasi yang disampaikan secara verbal (telepon, video conference, tatap muka) juga tunduk pada ketentuan berikut:</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Informasi Rahasia tidak boleh dibahas di tempat umum atau di area yang dapat didengar oleh pihak yang tidak berwenang.</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Percakapan telepon atau video conference yang membahas informasi Rahasia atau Terbatas tidak boleh direkam tanpa persetujuan semua pihak yang terlibat.</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Sebelum memulai percakapan sensitif via telepon, identitas pihak yang dihubungi wajib diverifikasi.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Informasi Terbatas tidak boleh disampaikan secara verbal kepada pihak eksternal kecuali dalam kondisi yang sangat terkontrol dan dengan persetujuan CISO.</w:t>
      </w:r>
    </w:p>
    <w:p>
      <w:pPr>
        <w:spacing w:after="120"/>
      </w:pPr>
      <w:r>
        <w:t xml:space="preserve"/>
      </w:r>
    </w:p>
    <w:p>
      <w:pPr>
        <w:pStyle w:val="Heading1"/>
        <w:pageBreakBefore/>
      </w:pPr>
      <w:r>
        <w:rPr>
          <w:rFonts w:ascii="Arial" w:cs="Arial" w:eastAsia="Arial" w:hAnsi="Arial"/>
          <w:b/>
          <w:bCs/>
          <w:i w:val="false"/>
          <w:iCs w:val="false"/>
          <w:color w:val="1B4D35"/>
          <w:sz w:val="36"/>
          <w:szCs w:val="36"/>
        </w:rPr>
        <w:t xml:space="preserve">7. TRANSFER KEPADA PIHAK KETIGA</w:t>
      </w:r>
    </w:p>
    <w:p>
      <w:pPr>
        <w:pStyle w:val="Heading2"/>
        <w:spacing w:before="220" w:after="100"/>
      </w:pPr>
      <w:r>
        <w:rPr>
          <w:rFonts w:ascii="Arial" w:cs="Arial" w:eastAsia="Arial" w:hAnsi="Arial"/>
          <w:b/>
          <w:bCs/>
          <w:i w:val="false"/>
          <w:iCs w:val="false"/>
          <w:color w:val="2D7A4F"/>
          <w:sz w:val="26"/>
          <w:szCs w:val="26"/>
        </w:rPr>
        <w:t xml:space="preserve">7.1 Persyaratan Perjanjian</w:t>
      </w:r>
    </w:p>
    <w:p>
      <w:pPr>
        <w:spacing w:before="0" w:after="100"/>
        <w:jc w:val="left"/>
      </w:pPr>
      <w:r>
        <w:rPr>
          <w:rFonts w:ascii="Arial" w:cs="Arial" w:eastAsia="Arial" w:hAnsi="Arial"/>
          <w:b w:val="false"/>
          <w:bCs w:val="false"/>
          <w:i w:val="false"/>
          <w:iCs w:val="false"/>
          <w:color w:val="1A1A1A"/>
          <w:sz w:val="20"/>
          <w:szCs w:val="20"/>
        </w:rPr>
        <w:t xml:space="preserve">Sebelum transfer informasi Rahasia atau Terbatas kepada pihak ketiga (vendor, mitra, auditor, konsultan), persyaratan berikut wajib dipenuhi:</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Persyaratan</w:t>
            </w:r>
          </w:p>
        </w:tc>
        <w:tc>
          <w:tcPr>
            <w:tcW w:type="dxa" w:w="2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Berlaku untuk</w:t>
            </w:r>
          </w:p>
        </w:tc>
        <w:tc>
          <w:tcPr>
            <w:tcW w:type="dxa" w:w="49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Keterangan</w:t>
            </w:r>
          </w:p>
        </w:tc>
      </w:tr>
      <w:tr>
        <w:tc>
          <w:tcPr>
            <w:tcW w:type="dxa" w:w="2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Non-Disclosure Agreement (NDA)</w:t>
            </w:r>
          </w:p>
        </w:tc>
        <w:tc>
          <w:tcPr>
            <w:tcW w:type="dxa" w:w="2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Semua pihak ketiga yang menerima informasi Rahasia atau lebih</w:t>
            </w:r>
          </w:p>
        </w:tc>
        <w:tc>
          <w:tcPr>
            <w:tcW w:type="dxa" w:w="49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Harus ditandatangani sebelum transfer pertama; mencakup: cakupan informasi, kewajiban kerahasiaan, larangan penyebaran lebih lanjut, konsekuensi pelanggaran</w:t>
            </w:r>
          </w:p>
        </w:tc>
      </w:tr>
      <w:tr>
        <w:tc>
          <w:tcPr>
            <w:tcW w:type="dxa" w:w="2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Data Transfer Agreement (DTA)</w:t>
            </w:r>
          </w:p>
        </w:tc>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Pihak ketiga yang menerima Data Pribadi</w:t>
            </w:r>
          </w:p>
        </w:tc>
        <w:tc>
          <w:tcPr>
            <w:tcW w:type="dxa" w:w="49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Wajib ada untuk transfer data pribadi; mencakup: tujuan penggunaan, batas retensi, kewajiban keamanan, hak ELI untuk audit</w:t>
            </w:r>
          </w:p>
        </w:tc>
      </w:tr>
      <w:tr>
        <w:tc>
          <w:tcPr>
            <w:tcW w:type="dxa" w:w="2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Verifikasi identitas penerima</w:t>
            </w:r>
          </w:p>
        </w:tc>
        <w:tc>
          <w:tcPr>
            <w:tcW w:type="dxa" w:w="2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Semua transfer Rahasia &amp; Terbatas</w:t>
            </w:r>
          </w:p>
        </w:tc>
        <w:tc>
          <w:tcPr>
            <w:tcW w:type="dxa" w:w="49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Konfirmasi bahwa penerima adalah individu/entitas yang berwenang</w:t>
            </w:r>
          </w:p>
        </w:tc>
      </w:tr>
      <w:tr>
        <w:tc>
          <w:tcPr>
            <w:tcW w:type="dxa" w:w="2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Evaluasi keamanan vendor (Vendor Security Assessment)</w:t>
            </w:r>
          </w:p>
        </w:tc>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Vendor yang memproses data nasabah ELI</w:t>
            </w:r>
          </w:p>
        </w:tc>
        <w:tc>
          <w:tcPr>
            <w:tcW w:type="dxa" w:w="49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Assessment wajib sebelum kontrak ditandatangani; diperbarui tahunan</w:t>
            </w:r>
          </w:p>
        </w:tc>
      </w:tr>
      <w:tr>
        <w:tc>
          <w:tcPr>
            <w:tcW w:type="dxa" w:w="2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Klausul keamanan dalam kontrak</w:t>
            </w:r>
          </w:p>
        </w:tc>
        <w:tc>
          <w:tcPr>
            <w:tcW w:type="dxa" w:w="2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Semua kontrak IT/vendor yang melibatkan data ELI</w:t>
            </w:r>
          </w:p>
        </w:tc>
        <w:tc>
          <w:tcPr>
            <w:tcW w:type="dxa" w:w="49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Mencakup: kewajiban enkripsi, pelaporan insiden, audit hak, kepatuhan ISO 27001</w:t>
            </w:r>
          </w:p>
        </w:tc>
      </w:tr>
    </w:tbl>
    <w:p>
      <w:pPr>
        <w:spacing w:after="80"/>
      </w:pPr>
      <w:r>
        <w:t xml:space="preserve"/>
      </w:r>
    </w:p>
    <w:p>
      <w:pPr>
        <w:pStyle w:val="Heading2"/>
        <w:spacing w:before="220" w:after="100"/>
      </w:pPr>
      <w:r>
        <w:rPr>
          <w:rFonts w:ascii="Arial" w:cs="Arial" w:eastAsia="Arial" w:hAnsi="Arial"/>
          <w:b/>
          <w:bCs/>
          <w:i w:val="false"/>
          <w:iCs w:val="false"/>
          <w:color w:val="2D7A4F"/>
          <w:sz w:val="26"/>
          <w:szCs w:val="26"/>
        </w:rPr>
        <w:t xml:space="preserve">7.2 Transfer Data kepada Regulator</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Transfer data kepada OJK atau regulator lain dilakukan atas dasar permintaan resmi tertulis.</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Setiap pengiriman data kepada regulator diketahui dan disetujui oleh CISO dan/atau Direksi sebelum dikirimkan.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Data yang dikirimkan kepada regulator dicatat dalam log transfer: tanggal, konten, penerima, metode pengiriman.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Jika regulator meminta transfer data melalui saluran tidak aman, IT Manager berhak mengajukan keberatan dan menawarkan alternatif yang lebih aman.</w:t>
      </w:r>
    </w:p>
    <w:p>
      <w:pPr>
        <w:spacing w:after="80"/>
      </w:pPr>
      <w:r>
        <w:t xml:space="preserve"/>
      </w:r>
    </w:p>
    <w:p>
      <w:pPr>
        <w:pStyle w:val="Heading2"/>
        <w:spacing w:before="220" w:after="100"/>
      </w:pPr>
      <w:r>
        <w:rPr>
          <w:rFonts w:ascii="Arial" w:cs="Arial" w:eastAsia="Arial" w:hAnsi="Arial"/>
          <w:b/>
          <w:bCs/>
          <w:i w:val="false"/>
          <w:iCs w:val="false"/>
          <w:color w:val="2D7A4F"/>
          <w:sz w:val="26"/>
          <w:szCs w:val="26"/>
        </w:rPr>
        <w:t xml:space="preserve">7.3 Transfer Data Lintas Batas Negara (Cross-Border)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DECEA" w:val="clear"/>
            <w:tcMar>
              <w:top w:type="dxa" w:w="100"/>
              <w:left w:type="dxa" w:w="200"/>
              <w:bottom w:type="dxa" w:w="100"/>
              <w:right w:type="dxa" w:w="200"/>
            </w:tcMar>
          </w:tcPr>
          <w:p>
            <w:pPr>
              <w:spacing w:before="0" w:after="80"/>
              <w:jc w:val="left"/>
            </w:pPr>
            <w:r>
              <w:rPr>
                <w:rFonts w:ascii="Arial" w:cs="Arial" w:eastAsia="Arial" w:hAnsi="Arial"/>
                <w:b/>
                <w:bCs/>
                <w:i w:val="false"/>
                <w:iCs w:val="false"/>
                <w:color w:val="C0392B"/>
                <w:sz w:val="19"/>
                <w:szCs w:val="19"/>
              </w:rPr>
              <w:t xml:space="preserve">WAJIB: Transfer data pribadi WNI ke luar negeri harus mendapat persetujuan OJK dan memenuhi persyaratan UU PDP No.27/2022 Pasal 57.</w:t>
            </w:r>
          </w:p>
        </w:tc>
      </w:tr>
    </w:tbl>
    <w:p>
      <w:pPr>
        <w:spacing w:after="80"/>
      </w:pPr>
      <w:r>
        <w:t xml:space="preserve"/>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Transfer data pribadi ke negara tujuan yang memiliki tingkat perlindungan data setara dengan Indonesia diizinkan dengan persetujuan DPO.</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Transfer ke negara yang belum memiliki regulasi perlindungan data yang setara hanya diizinkan jika terdapat mekanisme pelindungan tambahan: Standard Contractual Clauses (SCC), Binding Corporate Rules (BCR), atau mekanisme lain yang disetujui OJK.</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Setiap rencana cross-border transfer wajib didokumentasikan dalam Transfer Impact Assessment (TIA) oleh DPO.</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DPO melaporkan semua cross-border transfer kepada OJK sesuai ketentuan yang berlaku.</w:t>
      </w:r>
    </w:p>
    <w:p>
      <w:pPr>
        <w:spacing w:after="120"/>
      </w:pPr>
      <w:r>
        <w:t xml:space="preserve"/>
      </w:r>
    </w:p>
    <w:p>
      <w:pPr>
        <w:pStyle w:val="Heading1"/>
        <w:pageBreakBefore/>
      </w:pPr>
      <w:r>
        <w:rPr>
          <w:rFonts w:ascii="Arial" w:cs="Arial" w:eastAsia="Arial" w:hAnsi="Arial"/>
          <w:b/>
          <w:bCs/>
          <w:i w:val="false"/>
          <w:iCs w:val="false"/>
          <w:color w:val="1B4D35"/>
          <w:sz w:val="36"/>
          <w:szCs w:val="36"/>
        </w:rPr>
        <w:t xml:space="preserve">8. ENKRIPSI DAN PERSYARATAN TEKNIS</w:t>
      </w:r>
    </w:p>
    <w:p>
      <w:pPr>
        <w:pStyle w:val="Heading2"/>
        <w:spacing w:before="220" w:after="100"/>
      </w:pPr>
      <w:r>
        <w:rPr>
          <w:rFonts w:ascii="Arial" w:cs="Arial" w:eastAsia="Arial" w:hAnsi="Arial"/>
          <w:b/>
          <w:bCs/>
          <w:i w:val="false"/>
          <w:iCs w:val="false"/>
          <w:color w:val="2D7A4F"/>
          <w:sz w:val="26"/>
          <w:szCs w:val="26"/>
        </w:rPr>
        <w:t xml:space="preserve">8.1 Standar Enkripsi Minimum</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800"/>
        <w:gridCol w:w="2860"/>
      </w:tblGrid>
      <w:tr>
        <w:tc>
          <w:tcPr>
            <w:tcW w:type="dxa" w:w="25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Konteks Transfer</w:t>
            </w:r>
          </w:p>
        </w:tc>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Algoritma Minimum</w:t>
            </w:r>
          </w:p>
        </w:tc>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Panjang Kunci Minimum</w:t>
            </w:r>
          </w:p>
        </w:tc>
        <w:tc>
          <w:tcPr>
            <w:tcW w:type="dxa" w:w="28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Keterangan</w:t>
            </w:r>
          </w:p>
        </w:tc>
      </w:tr>
      <w:tr>
        <w:tc>
          <w:tcPr>
            <w:tcW w:type="dxa" w:w="2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Data in transit (jaringan)</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TLS 1.2 (wajib); TLS 1.3 (direkomendasikan)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N/A</w:t>
            </w:r>
          </w:p>
        </w:tc>
        <w:tc>
          <w:tcPr>
            <w:tcW w:type="dxa" w:w="28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Wajib untuk semua transfer data Rahasia ke atas</w:t>
            </w:r>
          </w:p>
        </w:tc>
      </w:tr>
      <w:tr>
        <w:tc>
          <w:tcPr>
            <w:tcW w:type="dxa" w:w="25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File / dokumen terenkripsi</w:t>
            </w:r>
          </w:p>
        </w:tc>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AES</w:t>
            </w:r>
          </w:p>
        </w:tc>
        <w:tc>
          <w:tcPr>
            <w:tcW w:type="dxa" w:w="1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256-bit</w:t>
            </w:r>
          </w:p>
        </w:tc>
        <w:tc>
          <w:tcPr>
            <w:tcW w:type="dxa" w:w="28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Enkripsi file sebelum dikirim via email atau media fisik</w:t>
            </w:r>
          </w:p>
        </w:tc>
      </w:tr>
      <w:tr>
        <w:tc>
          <w:tcPr>
            <w:tcW w:type="dxa" w:w="2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Email terenkripsi</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S/MIME atau PGP</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RSA 2048-bit / ECC 256-bit</w:t>
            </w:r>
          </w:p>
        </w:tc>
        <w:tc>
          <w:tcPr>
            <w:tcW w:type="dxa" w:w="28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Untuk email berisi data Rahasia</w:t>
            </w:r>
          </w:p>
        </w:tc>
      </w:tr>
      <w:tr>
        <w:tc>
          <w:tcPr>
            <w:tcW w:type="dxa" w:w="25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Media penyimpanan portabel</w:t>
            </w:r>
          </w:p>
        </w:tc>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AES (hardware encryption)</w:t>
            </w:r>
          </w:p>
        </w:tc>
        <w:tc>
          <w:tcPr>
            <w:tcW w:type="dxa" w:w="1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256-bit</w:t>
            </w:r>
          </w:p>
        </w:tc>
        <w:tc>
          <w:tcPr>
            <w:tcW w:type="dxa" w:w="28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Wajib untuk semua media yang dikeluarkan IT ELI</w:t>
            </w:r>
          </w:p>
        </w:tc>
      </w:tr>
      <w:tr>
        <w:tc>
          <w:tcPr>
            <w:tcW w:type="dxa" w:w="2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Database / file backup</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AES-256 atau lebih kuat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256-bit</w:t>
            </w:r>
          </w:p>
        </w:tc>
        <w:tc>
          <w:tcPr>
            <w:tcW w:type="dxa" w:w="28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Backup data nasabah wajib terenkripsi</w:t>
            </w:r>
          </w:p>
        </w:tc>
      </w:tr>
      <w:tr>
        <w:tc>
          <w:tcPr>
            <w:tcW w:type="dxa" w:w="25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Transfer antar sistem (API)</w:t>
            </w:r>
          </w:p>
        </w:tc>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TLS 1.2+ atau mTLS</w:t>
            </w:r>
          </w:p>
        </w:tc>
        <w:tc>
          <w:tcPr>
            <w:tcW w:type="dxa" w:w="1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RSA 2048-bit atau ECDSA 256-bit</w:t>
            </w:r>
          </w:p>
        </w:tc>
        <w:tc>
          <w:tcPr>
            <w:tcW w:type="dxa" w:w="28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Sertifikat wajib dari CA terpercaya</w:t>
            </w:r>
          </w:p>
        </w:tc>
      </w:tr>
      <w:tr>
        <w:tc>
          <w:tcPr>
            <w:tcW w:type="dxa" w:w="2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Password file ZIP</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AES-256 (7-Zip / WinRAR AES)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256-bit</w:t>
            </w:r>
          </w:p>
        </w:tc>
        <w:tc>
          <w:tcPr>
            <w:tcW w:type="dxa" w:w="28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Hindari ZIP password standar (ZipCrypto) — lemah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DECEA" w:val="clear"/>
            <w:tcMar>
              <w:top w:type="dxa" w:w="100"/>
              <w:left w:type="dxa" w:w="200"/>
              <w:bottom w:type="dxa" w:w="100"/>
              <w:right w:type="dxa" w:w="200"/>
            </w:tcMar>
          </w:tcPr>
          <w:p>
            <w:pPr>
              <w:spacing w:before="0" w:after="80"/>
              <w:jc w:val="left"/>
            </w:pPr>
            <w:r>
              <w:rPr>
                <w:rFonts w:ascii="Arial" w:cs="Arial" w:eastAsia="Arial" w:hAnsi="Arial"/>
                <w:b/>
                <w:bCs/>
                <w:i w:val="false"/>
                <w:iCs w:val="false"/>
                <w:color w:val="C0392B"/>
                <w:sz w:val="19"/>
                <w:szCs w:val="19"/>
              </w:rPr>
              <w:t xml:space="preserve">DILARANG: Algoritma kriptografi yang dianggap tidak aman: MD5, SHA-1, DES, 3DES, RC4, SSLv3, TLS 1.0, TLS 1.1, RSA &lt; 2048-bit. Penggunaan algoritma ini pada sistem produksi merupakan pelanggaran kebijakan.</w:t>
            </w:r>
          </w:p>
        </w:tc>
      </w:tr>
    </w:tbl>
    <w:p>
      <w:pPr>
        <w:spacing w:after="80"/>
      </w:pPr>
      <w:r>
        <w:t xml:space="preserve"/>
      </w:r>
    </w:p>
    <w:p>
      <w:pPr>
        <w:pStyle w:val="Heading2"/>
        <w:spacing w:before="220" w:after="100"/>
      </w:pPr>
      <w:r>
        <w:rPr>
          <w:rFonts w:ascii="Arial" w:cs="Arial" w:eastAsia="Arial" w:hAnsi="Arial"/>
          <w:b/>
          <w:bCs/>
          <w:i w:val="false"/>
          <w:iCs w:val="false"/>
          <w:color w:val="2D7A4F"/>
          <w:sz w:val="26"/>
          <w:szCs w:val="26"/>
        </w:rPr>
        <w:t xml:space="preserve">8.2 Manajemen Kunci Kriptografi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Kunci enkripsi wajib dikelola dalam Key Management System (KMS) yang disetujui IT Security.</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Kunci enkripsi tidak boleh disimpan bersama data yang dienkripsi.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Masa berlaku kunci enkripsi untuk transfer data ditinjau dan dirotasi secara berkala sesuai standar NIST.</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Kunci privat tidak boleh dibagikan melalui email atau saluran tidak terenkripsi.</w:t>
      </w:r>
    </w:p>
    <w:p>
      <w:pPr>
        <w:spacing w:after="120"/>
      </w:pPr>
      <w:r>
        <w:t xml:space="preserve"/>
      </w:r>
    </w:p>
    <w:p>
      <w:pPr>
        <w:pStyle w:val="Heading1"/>
        <w:pageBreakBefore/>
      </w:pPr>
      <w:r>
        <w:rPr>
          <w:rFonts w:ascii="Arial" w:cs="Arial" w:eastAsia="Arial" w:hAnsi="Arial"/>
          <w:b/>
          <w:bCs/>
          <w:i w:val="false"/>
          <w:iCs w:val="false"/>
          <w:color w:val="1B4D35"/>
          <w:sz w:val="36"/>
          <w:szCs w:val="36"/>
        </w:rPr>
        <w:t xml:space="preserve">9. LOGGING, MONITORING DAN AUDIT</w:t>
      </w:r>
    </w:p>
    <w:p>
      <w:pPr>
        <w:pStyle w:val="Heading2"/>
        <w:spacing w:before="220" w:after="100"/>
      </w:pPr>
      <w:r>
        <w:rPr>
          <w:rFonts w:ascii="Arial" w:cs="Arial" w:eastAsia="Arial" w:hAnsi="Arial"/>
          <w:b/>
          <w:bCs/>
          <w:i w:val="false"/>
          <w:iCs w:val="false"/>
          <w:color w:val="2D7A4F"/>
          <w:sz w:val="26"/>
          <w:szCs w:val="26"/>
        </w:rPr>
        <w:t xml:space="preserve">9.1 Kewajiban Logging</w:t>
      </w:r>
    </w:p>
    <w:p>
      <w:pPr>
        <w:spacing w:before="0" w:after="100"/>
        <w:jc w:val="left"/>
      </w:pPr>
      <w:r>
        <w:rPr>
          <w:rFonts w:ascii="Arial" w:cs="Arial" w:eastAsia="Arial" w:hAnsi="Arial"/>
          <w:b w:val="false"/>
          <w:bCs w:val="false"/>
          <w:i w:val="false"/>
          <w:iCs w:val="false"/>
          <w:color w:val="1A1A1A"/>
          <w:sz w:val="20"/>
          <w:szCs w:val="20"/>
        </w:rPr>
        <w:t xml:space="preserve">Log wajib dibuat dan disimpan untuk setiap transfer informasi berikut: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600"/>
        <w:gridCol w:w="2560"/>
      </w:tblGrid>
      <w:tr>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Jenis Transfer</w:t>
            </w:r>
          </w:p>
        </w:tc>
        <w:tc>
          <w:tcPr>
            <w:tcW w:type="dxa" w:w="3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Log yang Wajib Dibuat</w:t>
            </w:r>
          </w:p>
        </w:tc>
        <w:tc>
          <w:tcPr>
            <w:tcW w:type="dxa" w:w="16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Retensi Minimum</w:t>
            </w:r>
          </w:p>
        </w:tc>
        <w:tc>
          <w:tcPr>
            <w:tcW w:type="dxa" w:w="25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Pengelola Log</w:t>
            </w:r>
          </w:p>
        </w:tc>
      </w:tr>
      <w:tr>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SFTP / FTPS transfer (eksternal)</w:t>
            </w:r>
          </w:p>
        </w:tc>
        <w:tc>
          <w:tcPr>
            <w:tcW w:type="dxa" w:w="3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Nama file, ukuran, timestamp, user/akun, IP sumber &amp; tujuan, status transfer</w:t>
            </w:r>
          </w:p>
        </w:tc>
        <w:tc>
          <w:tcPr>
            <w:tcW w:type="dxa" w:w="1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1 tahun</w:t>
            </w:r>
          </w:p>
        </w:tc>
        <w:tc>
          <w:tcPr>
            <w:tcW w:type="dxa" w:w="2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Operations</w:t>
            </w:r>
          </w:p>
        </w:tc>
      </w:tr>
      <w:tr>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Email dengan attachment sensitif</w:t>
            </w:r>
          </w:p>
        </w:tc>
        <w:tc>
          <w:tcPr>
            <w:tcW w:type="dxa" w:w="3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Pengirim, penerima, timestamp, nama file, ukuran, DLP action</w:t>
            </w:r>
          </w:p>
        </w:tc>
        <w:tc>
          <w:tcPr>
            <w:tcW w:type="dxa" w:w="1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1 tahun</w:t>
            </w:r>
          </w:p>
        </w:tc>
        <w:tc>
          <w:tcPr>
            <w:tcW w:type="dxa" w:w="2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Security / Email Gateway</w:t>
            </w:r>
          </w:p>
        </w:tc>
      </w:tr>
      <w:tr>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API data transfer</w:t>
            </w:r>
          </w:p>
        </w:tc>
        <w:tc>
          <w:tcPr>
            <w:tcW w:type="dxa" w:w="3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Endpoint, user/API key, IP, payload size, response code, timestamp</w:t>
            </w:r>
          </w:p>
        </w:tc>
        <w:tc>
          <w:tcPr>
            <w:tcW w:type="dxa" w:w="1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1 tahun</w:t>
            </w:r>
          </w:p>
        </w:tc>
        <w:tc>
          <w:tcPr>
            <w:tcW w:type="dxa" w:w="2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Security / API Gateway</w:t>
            </w:r>
          </w:p>
        </w:tc>
      </w:tr>
      <w:tr>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Media fisik (media check-out)</w:t>
            </w:r>
          </w:p>
        </w:tc>
        <w:tc>
          <w:tcPr>
            <w:tcW w:type="dxa" w:w="3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User, tanggal, media ID, tujuan, tanggal kembali</w:t>
            </w:r>
          </w:p>
        </w:tc>
        <w:tc>
          <w:tcPr>
            <w:tcW w:type="dxa" w:w="1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3 tahun</w:t>
            </w:r>
          </w:p>
        </w:tc>
        <w:tc>
          <w:tcPr>
            <w:tcW w:type="dxa" w:w="2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Operations</w:t>
            </w:r>
          </w:p>
        </w:tc>
      </w:tr>
      <w:tr>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Cross-border transfer</w:t>
            </w:r>
          </w:p>
        </w:tc>
        <w:tc>
          <w:tcPr>
            <w:tcW w:type="dxa" w:w="3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Tanggal, jenis data, negara tujuan, volume, dasar hukum</w:t>
            </w:r>
          </w:p>
        </w:tc>
        <w:tc>
          <w:tcPr>
            <w:tcW w:type="dxa" w:w="16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5 tahun</w:t>
            </w:r>
          </w:p>
        </w:tc>
        <w:tc>
          <w:tcPr>
            <w:tcW w:type="dxa" w:w="2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DPO</w:t>
            </w:r>
          </w:p>
        </w:tc>
      </w:tr>
      <w:tr>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Transfer ke regulator</w:t>
            </w:r>
          </w:p>
        </w:tc>
        <w:tc>
          <w:tcPr>
            <w:tcW w:type="dxa" w:w="3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Tanggal, jenis data, nomor surat permintaan, approver, metode</w:t>
            </w:r>
          </w:p>
        </w:tc>
        <w:tc>
          <w:tcPr>
            <w:tcW w:type="dxa" w:w="1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5 tahun</w:t>
            </w:r>
          </w:p>
        </w:tc>
        <w:tc>
          <w:tcPr>
            <w:tcW w:type="dxa" w:w="2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Manager + CISO</w:t>
            </w:r>
          </w:p>
        </w:tc>
      </w:tr>
    </w:tbl>
    <w:p>
      <w:pPr>
        <w:spacing w:after="80"/>
      </w:pPr>
      <w:r>
        <w:t xml:space="preserve"/>
      </w:r>
    </w:p>
    <w:p>
      <w:pPr>
        <w:pStyle w:val="Heading2"/>
        <w:spacing w:before="220" w:after="100"/>
      </w:pPr>
      <w:r>
        <w:rPr>
          <w:rFonts w:ascii="Arial" w:cs="Arial" w:eastAsia="Arial" w:hAnsi="Arial"/>
          <w:b/>
          <w:bCs/>
          <w:i w:val="false"/>
          <w:iCs w:val="false"/>
          <w:color w:val="2D7A4F"/>
          <w:sz w:val="26"/>
          <w:szCs w:val="26"/>
        </w:rPr>
        <w:t xml:space="preserve">9.2 Monitoring</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DLP tool memantau secara real-time potensi kebocoran data melalui email, web, dan endpoint.</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Alert otomatis dikonfigurasi untuk: (1) pengiriman file besar ke alamat eksternal, (2) upload data ke cloud storage tidak resmi, (3) koneksi SFTP dari IP yang tidak dikenal.</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IT Security melakukan tinjauan mingguan atas alert DLP untuk mengidentifikasi pola mencurigakan.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Laporan monitoring transfer data dilaporkan kepada CISO setiap bulan.</w:t>
      </w:r>
    </w:p>
    <w:p>
      <w:pPr>
        <w:spacing w:after="80"/>
      </w:pPr>
      <w:r>
        <w:t xml:space="preserve"/>
      </w:r>
    </w:p>
    <w:p>
      <w:pPr>
        <w:pStyle w:val="Heading2"/>
        <w:spacing w:before="220" w:after="100"/>
      </w:pPr>
      <w:r>
        <w:rPr>
          <w:rFonts w:ascii="Arial" w:cs="Arial" w:eastAsia="Arial" w:hAnsi="Arial"/>
          <w:b/>
          <w:bCs/>
          <w:i w:val="false"/>
          <w:iCs w:val="false"/>
          <w:color w:val="2D7A4F"/>
          <w:sz w:val="26"/>
          <w:szCs w:val="26"/>
        </w:rPr>
        <w:t xml:space="preserve">9.3 Audit</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Audit atas log transfer informasi dilakukan minimal 1 kali per tahun oleh Internal Audit atau pihak independen.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Temuan audit terkait pelanggaran transfer informasi wajib ditindaklanjuti dalam 30 hari kalender.</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Log transfer tidak dapat dimodifikasi atau dihapus oleh pengguna biasa; hanya IT Security dengan persetujuan CISO yang dapat mengakses log untuk keperluan investigasi.</w:t>
      </w:r>
    </w:p>
    <w:p>
      <w:pPr>
        <w:spacing w:after="120"/>
      </w:pPr>
      <w:r>
        <w:t xml:space="preserve"/>
      </w:r>
    </w:p>
    <w:p>
      <w:pPr>
        <w:pStyle w:val="Heading1"/>
        <w:pageBreakBefore/>
      </w:pPr>
      <w:r>
        <w:rPr>
          <w:rFonts w:ascii="Arial" w:cs="Arial" w:eastAsia="Arial" w:hAnsi="Arial"/>
          <w:b/>
          <w:bCs/>
          <w:i w:val="false"/>
          <w:iCs w:val="false"/>
          <w:color w:val="1B4D35"/>
          <w:sz w:val="36"/>
          <w:szCs w:val="36"/>
        </w:rPr>
        <w:t xml:space="preserve">10. PENANGANAN INSIDEN TERKAIT TRANSFER INFORMASI</w:t>
      </w:r>
    </w:p>
    <w:p>
      <w:pPr>
        <w:pStyle w:val="Heading2"/>
        <w:spacing w:before="220" w:after="100"/>
      </w:pPr>
      <w:r>
        <w:rPr>
          <w:rFonts w:ascii="Arial" w:cs="Arial" w:eastAsia="Arial" w:hAnsi="Arial"/>
          <w:b/>
          <w:bCs/>
          <w:i w:val="false"/>
          <w:iCs w:val="false"/>
          <w:color w:val="2D7A4F"/>
          <w:sz w:val="26"/>
          <w:szCs w:val="26"/>
        </w:rPr>
        <w:t xml:space="preserve">10.1 Definisi Insiden Transfer Informasi</w:t>
      </w:r>
    </w:p>
    <w:p>
      <w:pPr>
        <w:spacing w:before="0" w:after="100"/>
        <w:jc w:val="left"/>
      </w:pPr>
      <w:r>
        <w:rPr>
          <w:rFonts w:ascii="Arial" w:cs="Arial" w:eastAsia="Arial" w:hAnsi="Arial"/>
          <w:b w:val="false"/>
          <w:bCs w:val="false"/>
          <w:i w:val="false"/>
          <w:iCs w:val="false"/>
          <w:color w:val="1A1A1A"/>
          <w:sz w:val="20"/>
          <w:szCs w:val="20"/>
        </w:rPr>
        <w:t xml:space="preserve">Insiden terkait perpindahan informasi mencakup, namun tidak terbatas pada:</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Misdirected email: email berisi informasi Rahasia terkirim ke penerima yang tidak berwenang.</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Media penyimpanan hilang atau dicuri: USB/hard disk berisi data ELI hilang atau dicuri.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Transfer tidak sah: informasi ELI dipindahkan tanpa otorisasi (data exfiltration).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Intercept: indikasi bahwa transfer informasi disadap atau diintersepsi pihak tidak berwenang.</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Integritas data terganggu: data yang diterima berbeda dari data yang dikirimkan (checksum tidak cocok).</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Akun transfer dikompromisasi: akun SFTP, API, atau email digunakan secara tidak sah untuk transfer data.</w:t>
      </w:r>
    </w:p>
    <w:p>
      <w:pPr>
        <w:spacing w:after="80"/>
      </w:pPr>
      <w:r>
        <w:t xml:space="preserve"/>
      </w:r>
    </w:p>
    <w:p>
      <w:pPr>
        <w:pStyle w:val="Heading2"/>
        <w:spacing w:before="220" w:after="100"/>
      </w:pPr>
      <w:r>
        <w:rPr>
          <w:rFonts w:ascii="Arial" w:cs="Arial" w:eastAsia="Arial" w:hAnsi="Arial"/>
          <w:b/>
          <w:bCs/>
          <w:i w:val="false"/>
          <w:iCs w:val="false"/>
          <w:color w:val="2D7A4F"/>
          <w:sz w:val="26"/>
          <w:szCs w:val="26"/>
        </w:rPr>
        <w:t xml:space="preserve">10.2 Prosedur Respons Insiden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000"/>
        <w:gridCol w:w="2200"/>
      </w:tblGrid>
      <w:tr>
        <w:tc>
          <w:tcPr>
            <w:tcW w:type="dxa" w:w="6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Langkah</w:t>
            </w:r>
          </w:p>
        </w:tc>
        <w:tc>
          <w:tcPr>
            <w:tcW w:type="dxa" w:w="45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Tindakan</w:t>
            </w:r>
          </w:p>
        </w:tc>
        <w:tc>
          <w:tcPr>
            <w:tcW w:type="dxa" w:w="2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PIC</w:t>
            </w:r>
          </w:p>
        </w:tc>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Tenggat</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1</w:t>
            </w:r>
          </w:p>
        </w:tc>
        <w:tc>
          <w:tcPr>
            <w:tcW w:type="dxa" w:w="4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Deteksi &amp; Laporan: insiden dilaporkan ke SOC/IT Security melalui hotline atau ITSM</w:t>
            </w:r>
          </w:p>
        </w:tc>
        <w:tc>
          <w:tcPr>
            <w:tcW w:type="dxa" w:w="2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Pelapor (siapa saja)</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Segera setelah diketahui</w:t>
            </w:r>
          </w:p>
        </w:tc>
      </w:tr>
      <w:tr>
        <w:tc>
          <w:tcPr>
            <w:tcW w:type="dxa" w:w="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2</w:t>
            </w:r>
          </w:p>
        </w:tc>
        <w:tc>
          <w:tcPr>
            <w:tcW w:type="dxa" w:w="4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Konfirmasi &amp; Triage: SOC mengkonfirmasi insiden, menilai severity dan data apa yang terdampak</w:t>
            </w:r>
          </w:p>
        </w:tc>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SOC Analyst</w:t>
            </w:r>
          </w:p>
        </w:tc>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&lt; 30 menit</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3</w:t>
            </w:r>
          </w:p>
        </w:tc>
        <w:tc>
          <w:tcPr>
            <w:tcW w:type="dxa" w:w="4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Containment: menghentikan transfer lanjutan; mencabut akses akun yang terdampak</w:t>
            </w:r>
          </w:p>
        </w:tc>
        <w:tc>
          <w:tcPr>
            <w:tcW w:type="dxa" w:w="2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Security / SOC</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&lt; 1 jam (P1/P2)</w:t>
            </w:r>
          </w:p>
        </w:tc>
      </w:tr>
      <w:tr>
        <w:tc>
          <w:tcPr>
            <w:tcW w:type="dxa" w:w="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4</w:t>
            </w:r>
          </w:p>
        </w:tc>
        <w:tc>
          <w:tcPr>
            <w:tcW w:type="dxa" w:w="4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Notifikasi Internal: CISO dan IT Manager diberitahu; DPO diberitahu jika melibatkan data pribadi</w:t>
            </w:r>
          </w:p>
        </w:tc>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SOC Leader</w:t>
            </w:r>
          </w:p>
        </w:tc>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&lt; 1 jam (P1/P2)</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5</w:t>
            </w:r>
          </w:p>
        </w:tc>
        <w:tc>
          <w:tcPr>
            <w:tcW w:type="dxa" w:w="4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Investigasi Forensik: identifikasi volume data terdampak, jalur transfer, dan pelaku</w:t>
            </w:r>
          </w:p>
        </w:tc>
        <w:tc>
          <w:tcPr>
            <w:tcW w:type="dxa" w:w="2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Security / CISO</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&lt; 24 jam</w:t>
            </w:r>
          </w:p>
        </w:tc>
      </w:tr>
      <w:tr>
        <w:tc>
          <w:tcPr>
            <w:tcW w:type="dxa" w:w="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6</w:t>
            </w:r>
          </w:p>
        </w:tc>
        <w:tc>
          <w:tcPr>
            <w:tcW w:type="dxa" w:w="4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Notifikasi Eksternal: jika data pribadi nasabah terdampak, DPO menyiapkan notifikasi OJK (24 jam) dan nasabah (72 jam)</w:t>
            </w:r>
          </w:p>
        </w:tc>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DPO</w:t>
            </w:r>
          </w:p>
        </w:tc>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Sesuai UU PDP</w:t>
            </w:r>
          </w:p>
        </w:tc>
      </w:tr>
      <w:tr>
        <w:tc>
          <w:tcPr>
            <w:tcW w:type="dxa" w:w="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7</w:t>
            </w:r>
          </w:p>
        </w:tc>
        <w:tc>
          <w:tcPr>
            <w:tcW w:type="dxa" w:w="4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Pemulihan &amp; Mitigasi: tindakan untuk mencegah eksploitasi lebih lanjut</w:t>
            </w:r>
          </w:p>
        </w:tc>
        <w:tc>
          <w:tcPr>
            <w:tcW w:type="dxa" w:w="2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Security</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Sesegera mungkin</w:t>
            </w:r>
          </w:p>
        </w:tc>
      </w:tr>
      <w:tr>
        <w:tc>
          <w:tcPr>
            <w:tcW w:type="dxa" w:w="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8</w:t>
            </w:r>
          </w:p>
        </w:tc>
        <w:tc>
          <w:tcPr>
            <w:tcW w:type="dxa" w:w="4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Post-Incident Report: laporan lengkap disampaikan kepada Direksi dan CAB</w:t>
            </w:r>
          </w:p>
        </w:tc>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CISO</w:t>
            </w:r>
          </w:p>
        </w:tc>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&lt; 5 hari kerja</w:t>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11. PERAN DAN TANGGUNG JAWAB</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Peran / Jabatan</w:t>
            </w:r>
          </w:p>
        </w:tc>
        <w:tc>
          <w:tcPr>
            <w:tcW w:type="dxa" w:w="65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Tanggung Jawab dalam Perpindahan Informasi</w:t>
            </w:r>
          </w:p>
        </w:tc>
      </w:tr>
      <w:tr>
        <w:tc>
          <w:tcPr>
            <w:tcW w:type="dxa" w:w="2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CISO</w:t>
            </w:r>
          </w:p>
        </w:tc>
        <w:tc>
          <w:tcPr>
            <w:tcW w:type="dxa" w:w="6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Pemilik kebijakan; menetapkan standar enkripsi; menyetujui transfer Terbatas; memimpin respons insiden transfer; meninjau kebijakan tahunan.</w:t>
            </w:r>
          </w:p>
        </w:tc>
      </w:tr>
      <w:tr>
        <w:tc>
          <w:tcPr>
            <w:tcW w:type="dxa" w:w="2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IT Manager</w:t>
            </w:r>
          </w:p>
        </w:tc>
        <w:tc>
          <w:tcPr>
            <w:tcW w:type="dxa" w:w="6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top"/>
          </w:tcPr>
          <w:p>
            <w:pPr>
              <w:spacing w:before="0" w:after="40"/>
              <w:jc w:val="left"/>
            </w:pPr>
            <w:r>
              <w:rPr>
                <w:rFonts w:ascii="Arial" w:cs="Arial" w:eastAsia="Arial" w:hAnsi="Arial"/>
                <w:b w:val="false"/>
                <w:bCs w:val="false"/>
                <w:i w:val="false"/>
                <w:iCs w:val="false"/>
                <w:color w:val="1A1A1A"/>
                <w:sz w:val="19"/>
                <w:szCs w:val="19"/>
              </w:rPr>
              <w:t xml:space="preserve">Menyetujui transfer data Rahasia kepada pihak ketiga</w:t>
            </w:r>
          </w:p>
          <w:p>
            <w:pPr>
              <w:spacing w:before="0" w:after="40"/>
              <w:jc w:val="left"/>
            </w:pPr>
            <w:r>
              <w:rPr>
                <w:rFonts w:ascii="Arial" w:cs="Arial" w:eastAsia="Arial" w:hAnsi="Arial"/>
                <w:b w:val="false"/>
                <w:bCs w:val="false"/>
                <w:i w:val="false"/>
                <w:iCs w:val="false"/>
                <w:color w:val="1A1A1A"/>
                <w:sz w:val="19"/>
                <w:szCs w:val="19"/>
              </w:rPr>
              <w:t xml:space="preserve">Mengelola akun SFTP dan konfigurasi email gateway</w:t>
            </w:r>
          </w:p>
          <w:p>
            <w:pPr>
              <w:spacing w:before="0" w:after="40"/>
              <w:jc w:val="left"/>
            </w:pPr>
            <w:r>
              <w:rPr>
                <w:rFonts w:ascii="Arial" w:cs="Arial" w:eastAsia="Arial" w:hAnsi="Arial"/>
                <w:b w:val="false"/>
                <w:bCs w:val="false"/>
                <w:i w:val="false"/>
                <w:iCs w:val="false"/>
                <w:color w:val="1A1A1A"/>
                <w:sz w:val="19"/>
                <w:szCs w:val="19"/>
              </w:rPr>
              <w:t xml:space="preserve">Memastikan DLP dikonfigurasi dan berjalan</w:t>
            </w:r>
          </w:p>
          <w:p>
            <w:pPr>
              <w:spacing w:before="0" w:after="80"/>
              <w:jc w:val="left"/>
            </w:pPr>
            <w:r>
              <w:rPr>
                <w:rFonts w:ascii="Arial" w:cs="Arial" w:eastAsia="Arial" w:hAnsi="Arial"/>
                <w:b w:val="false"/>
                <w:bCs w:val="false"/>
                <w:i w:val="false"/>
                <w:iCs w:val="false"/>
                <w:color w:val="1A1A1A"/>
                <w:sz w:val="19"/>
                <w:szCs w:val="19"/>
              </w:rPr>
              <w:t xml:space="preserve">Melaporkan insiden transfer kepada CISO</w:t>
            </w:r>
          </w:p>
        </w:tc>
      </w:tr>
      <w:tr>
        <w:tc>
          <w:tcPr>
            <w:tcW w:type="dxa" w:w="2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IT Security Team</w:t>
            </w:r>
          </w:p>
        </w:tc>
        <w:tc>
          <w:tcPr>
            <w:tcW w:type="dxa" w:w="6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40"/>
              <w:jc w:val="left"/>
            </w:pPr>
            <w:r>
              <w:rPr>
                <w:rFonts w:ascii="Arial" w:cs="Arial" w:eastAsia="Arial" w:hAnsi="Arial"/>
                <w:b w:val="false"/>
                <w:bCs w:val="false"/>
                <w:i w:val="false"/>
                <w:iCs w:val="false"/>
                <w:color w:val="1A1A1A"/>
                <w:sz w:val="19"/>
                <w:szCs w:val="19"/>
              </w:rPr>
              <w:t xml:space="preserve">Memantau log dan alert DLP</w:t>
            </w:r>
          </w:p>
          <w:p>
            <w:pPr>
              <w:spacing w:before="0" w:after="40"/>
              <w:jc w:val="left"/>
            </w:pPr>
            <w:r>
              <w:rPr>
                <w:rFonts w:ascii="Arial" w:cs="Arial" w:eastAsia="Arial" w:hAnsi="Arial"/>
                <w:b w:val="false"/>
                <w:bCs w:val="false"/>
                <w:i w:val="false"/>
                <w:iCs w:val="false"/>
                <w:color w:val="1A1A1A"/>
                <w:sz w:val="19"/>
                <w:szCs w:val="19"/>
              </w:rPr>
              <w:t xml:space="preserve">Melakukan audit log transfer berkala</w:t>
            </w:r>
          </w:p>
          <w:p>
            <w:pPr>
              <w:spacing w:before="0" w:after="40"/>
              <w:jc w:val="left"/>
            </w:pPr>
            <w:r>
              <w:rPr>
                <w:rFonts w:ascii="Arial" w:cs="Arial" w:eastAsia="Arial" w:hAnsi="Arial"/>
                <w:b w:val="false"/>
                <w:bCs w:val="false"/>
                <w:i w:val="false"/>
                <w:iCs w:val="false"/>
                <w:color w:val="1A1A1A"/>
                <w:sz w:val="19"/>
                <w:szCs w:val="19"/>
              </w:rPr>
              <w:t xml:space="preserve">Mengelola kunci enkripsi dan sertifikat TLS</w:t>
            </w:r>
          </w:p>
          <w:p>
            <w:pPr>
              <w:spacing w:before="0" w:after="80"/>
              <w:jc w:val="left"/>
            </w:pPr>
            <w:r>
              <w:rPr>
                <w:rFonts w:ascii="Arial" w:cs="Arial" w:eastAsia="Arial" w:hAnsi="Arial"/>
                <w:b w:val="false"/>
                <w:bCs w:val="false"/>
                <w:i w:val="false"/>
                <w:iCs w:val="false"/>
                <w:color w:val="1A1A1A"/>
                <w:sz w:val="19"/>
                <w:szCs w:val="19"/>
              </w:rPr>
              <w:t xml:space="preserve">Menangani insiden terkait transfer tidak sah</w:t>
            </w:r>
          </w:p>
        </w:tc>
      </w:tr>
      <w:tr>
        <w:tc>
          <w:tcPr>
            <w:tcW w:type="dxa" w:w="2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Data Protection Officer (DPO)</w:t>
            </w:r>
          </w:p>
        </w:tc>
        <w:tc>
          <w:tcPr>
            <w:tcW w:type="dxa" w:w="6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top"/>
          </w:tcPr>
          <w:p>
            <w:pPr>
              <w:spacing w:before="0" w:after="40"/>
              <w:jc w:val="left"/>
            </w:pPr>
            <w:r>
              <w:rPr>
                <w:rFonts w:ascii="Arial" w:cs="Arial" w:eastAsia="Arial" w:hAnsi="Arial"/>
                <w:b w:val="false"/>
                <w:bCs w:val="false"/>
                <w:i w:val="false"/>
                <w:iCs w:val="false"/>
                <w:color w:val="1A1A1A"/>
                <w:sz w:val="19"/>
                <w:szCs w:val="19"/>
              </w:rPr>
              <w:t xml:space="preserve">Memastikan transfer data pribadi mematuhi UU PDP</w:t>
            </w:r>
          </w:p>
          <w:p>
            <w:pPr>
              <w:spacing w:before="0" w:after="40"/>
              <w:jc w:val="left"/>
            </w:pPr>
            <w:r>
              <w:rPr>
                <w:rFonts w:ascii="Arial" w:cs="Arial" w:eastAsia="Arial" w:hAnsi="Arial"/>
                <w:b w:val="false"/>
                <w:bCs w:val="false"/>
                <w:i w:val="false"/>
                <w:iCs w:val="false"/>
                <w:color w:val="1A1A1A"/>
                <w:sz w:val="19"/>
                <w:szCs w:val="19"/>
              </w:rPr>
              <w:t xml:space="preserve">Menyusun Transfer Impact Assessment untuk cross-border transfer</w:t>
            </w:r>
          </w:p>
          <w:p>
            <w:pPr>
              <w:spacing w:before="0" w:after="80"/>
              <w:jc w:val="left"/>
            </w:pPr>
            <w:r>
              <w:rPr>
                <w:rFonts w:ascii="Arial" w:cs="Arial" w:eastAsia="Arial" w:hAnsi="Arial"/>
                <w:b w:val="false"/>
                <w:bCs w:val="false"/>
                <w:i w:val="false"/>
                <w:iCs w:val="false"/>
                <w:color w:val="1A1A1A"/>
                <w:sz w:val="19"/>
                <w:szCs w:val="19"/>
              </w:rPr>
              <w:t xml:space="preserve">Notifikasi OJK dan nasabah jika terjadi data breach akibat transfer</w:t>
            </w:r>
          </w:p>
        </w:tc>
      </w:tr>
      <w:tr>
        <w:tc>
          <w:tcPr>
            <w:tcW w:type="dxa" w:w="2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IT Operations</w:t>
            </w:r>
          </w:p>
        </w:tc>
        <w:tc>
          <w:tcPr>
            <w:tcW w:type="dxa" w:w="6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40"/>
              <w:jc w:val="left"/>
            </w:pPr>
            <w:r>
              <w:rPr>
                <w:rFonts w:ascii="Arial" w:cs="Arial" w:eastAsia="Arial" w:hAnsi="Arial"/>
                <w:b w:val="false"/>
                <w:bCs w:val="false"/>
                <w:i w:val="false"/>
                <w:iCs w:val="false"/>
                <w:color w:val="1A1A1A"/>
                <w:sz w:val="19"/>
                <w:szCs w:val="19"/>
              </w:rPr>
              <w:t xml:space="preserve">Mengelola server SFTP dan infrastruktur transfer</w:t>
            </w:r>
          </w:p>
          <w:p>
            <w:pPr>
              <w:spacing w:before="0" w:after="40"/>
              <w:jc w:val="left"/>
            </w:pPr>
            <w:r>
              <w:rPr>
                <w:rFonts w:ascii="Arial" w:cs="Arial" w:eastAsia="Arial" w:hAnsi="Arial"/>
                <w:b w:val="false"/>
                <w:bCs w:val="false"/>
                <w:i w:val="false"/>
                <w:iCs w:val="false"/>
                <w:color w:val="1A1A1A"/>
                <w:sz w:val="19"/>
                <w:szCs w:val="19"/>
              </w:rPr>
              <w:t xml:space="preserve">Memelihara log transfer</w:t>
            </w:r>
          </w:p>
          <w:p>
            <w:pPr>
              <w:spacing w:before="0" w:after="80"/>
              <w:jc w:val="left"/>
            </w:pPr>
            <w:r>
              <w:rPr>
                <w:rFonts w:ascii="Arial" w:cs="Arial" w:eastAsia="Arial" w:hAnsi="Arial"/>
                <w:b w:val="false"/>
                <w:bCs w:val="false"/>
                <w:i w:val="false"/>
                <w:iCs w:val="false"/>
                <w:color w:val="1A1A1A"/>
                <w:sz w:val="19"/>
                <w:szCs w:val="19"/>
              </w:rPr>
              <w:t xml:space="preserve">Mengelola inventaris media penyimpanan portabel ELI</w:t>
            </w:r>
          </w:p>
        </w:tc>
      </w:tr>
      <w:tr>
        <w:tc>
          <w:tcPr>
            <w:tcW w:type="dxa" w:w="2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Semua Karyawan</w:t>
            </w:r>
          </w:p>
        </w:tc>
        <w:tc>
          <w:tcPr>
            <w:tcW w:type="dxa" w:w="6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top"/>
          </w:tcPr>
          <w:p>
            <w:pPr>
              <w:spacing w:before="0" w:after="40"/>
              <w:jc w:val="left"/>
            </w:pPr>
            <w:r>
              <w:rPr>
                <w:rFonts w:ascii="Arial" w:cs="Arial" w:eastAsia="Arial" w:hAnsi="Arial"/>
                <w:b w:val="false"/>
                <w:bCs w:val="false"/>
                <w:i w:val="false"/>
                <w:iCs w:val="false"/>
                <w:color w:val="1A1A1A"/>
                <w:sz w:val="19"/>
                <w:szCs w:val="19"/>
              </w:rPr>
              <w:t xml:space="preserve">Hanya menggunakan saluran resmi yang diizinkan</w:t>
            </w:r>
          </w:p>
          <w:p>
            <w:pPr>
              <w:spacing w:before="0" w:after="40"/>
              <w:jc w:val="left"/>
            </w:pPr>
            <w:r>
              <w:rPr>
                <w:rFonts w:ascii="Arial" w:cs="Arial" w:eastAsia="Arial" w:hAnsi="Arial"/>
                <w:b w:val="false"/>
                <w:bCs w:val="false"/>
                <w:i w:val="false"/>
                <w:iCs w:val="false"/>
                <w:color w:val="1A1A1A"/>
                <w:sz w:val="19"/>
                <w:szCs w:val="19"/>
              </w:rPr>
              <w:t xml:space="preserve">Melaporkan insiden atau kecurigaan transfer tidak sah segera</w:t>
            </w:r>
          </w:p>
          <w:p>
            <w:pPr>
              <w:spacing w:before="0" w:after="80"/>
              <w:jc w:val="left"/>
            </w:pPr>
            <w:r>
              <w:rPr>
                <w:rFonts w:ascii="Arial" w:cs="Arial" w:eastAsia="Arial" w:hAnsi="Arial"/>
                <w:b w:val="false"/>
                <w:bCs w:val="false"/>
                <w:i w:val="false"/>
                <w:iCs w:val="false"/>
                <w:color w:val="1A1A1A"/>
                <w:sz w:val="19"/>
                <w:szCs w:val="19"/>
              </w:rPr>
              <w:t xml:space="preserve">Tidak menggunakan media atau platform pribadi untuk informasi ELI</w:t>
            </w:r>
          </w:p>
        </w:tc>
      </w:tr>
      <w:tr>
        <w:tc>
          <w:tcPr>
            <w:tcW w:type="dxa" w:w="2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Vendor / Pihak Ketiga</w:t>
            </w:r>
          </w:p>
        </w:tc>
        <w:tc>
          <w:tcPr>
            <w:tcW w:type="dxa" w:w="6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top"/>
          </w:tcPr>
          <w:p>
            <w:pPr>
              <w:spacing w:before="0" w:after="40"/>
              <w:jc w:val="left"/>
            </w:pPr>
            <w:r>
              <w:rPr>
                <w:rFonts w:ascii="Arial" w:cs="Arial" w:eastAsia="Arial" w:hAnsi="Arial"/>
                <w:b w:val="false"/>
                <w:bCs w:val="false"/>
                <w:i w:val="false"/>
                <w:iCs w:val="false"/>
                <w:color w:val="1A1A1A"/>
                <w:sz w:val="19"/>
                <w:szCs w:val="19"/>
              </w:rPr>
              <w:t xml:space="preserve">Mematuhi ketentuan NDA dan DTA yang telah disepakati</w:t>
            </w:r>
          </w:p>
          <w:p>
            <w:pPr>
              <w:spacing w:before="0" w:after="40"/>
              <w:jc w:val="left"/>
            </w:pPr>
            <w:r>
              <w:rPr>
                <w:rFonts w:ascii="Arial" w:cs="Arial" w:eastAsia="Arial" w:hAnsi="Arial"/>
                <w:b w:val="false"/>
                <w:bCs w:val="false"/>
                <w:i w:val="false"/>
                <w:iCs w:val="false"/>
                <w:color w:val="1A1A1A"/>
                <w:sz w:val="19"/>
                <w:szCs w:val="19"/>
              </w:rPr>
              <w:t xml:space="preserve">Melaporkan insiden terkait data ELI kepada IT Manager</w:t>
            </w:r>
          </w:p>
          <w:p>
            <w:pPr>
              <w:spacing w:before="0" w:after="80"/>
              <w:jc w:val="left"/>
            </w:pPr>
            <w:r>
              <w:rPr>
                <w:rFonts w:ascii="Arial" w:cs="Arial" w:eastAsia="Arial" w:hAnsi="Arial"/>
                <w:b w:val="false"/>
                <w:bCs w:val="false"/>
                <w:i w:val="false"/>
                <w:iCs w:val="false"/>
                <w:color w:val="1A1A1A"/>
                <w:sz w:val="19"/>
                <w:szCs w:val="19"/>
              </w:rPr>
              <w:t xml:space="preserve">Hanya mengakses data ELI sesuai lingkup yang diizinkan</w:t>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12. PELANGGARAN DAN SANKSI</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460"/>
        <w:gridCol w:w="2000"/>
      </w:tblGrid>
      <w:tr>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Jenis Pelanggaran</w:t>
            </w:r>
          </w:p>
        </w:tc>
        <w:tc>
          <w:tcPr>
            <w:tcW w:type="dxa" w:w="27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Contoh</w:t>
            </w:r>
          </w:p>
        </w:tc>
        <w:tc>
          <w:tcPr>
            <w:tcW w:type="dxa" w:w="24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Sanksi</w:t>
            </w:r>
          </w:p>
        </w:tc>
        <w:tc>
          <w:tcPr>
            <w:tcW w:type="dxa" w:w="2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Dasar ISO / Regulasi</w:t>
            </w:r>
          </w:p>
        </w:tc>
      </w:tr>
      <w:tr>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Penggunaan saluran tidak resmi</w:t>
            </w:r>
          </w:p>
        </w:tc>
        <w:tc>
          <w:tcPr>
            <w:tcW w:type="dxa" w:w="27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Mengirim data nasabah via Gmail/WhatsApp pribadi</w:t>
            </w:r>
          </w:p>
        </w:tc>
        <w:tc>
          <w:tcPr>
            <w:tcW w:type="dxa" w:w="24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Teguran tertulis; investigasi; pencabutan akses sementara</w:t>
            </w:r>
          </w:p>
        </w:tc>
        <w:tc>
          <w:tcPr>
            <w:tcW w:type="dxa" w:w="2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A.5.14, UU PDP</w:t>
            </w:r>
          </w:p>
        </w:tc>
      </w:tr>
      <w:tr>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Pengiriman tanpa enkripsi</w:t>
            </w:r>
          </w:p>
        </w:tc>
        <w:tc>
          <w:tcPr>
            <w:tcW w:type="dxa" w:w="2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Kirim file data nasabah via email tanpa enkripsi</w:t>
            </w:r>
          </w:p>
        </w:tc>
        <w:tc>
          <w:tcPr>
            <w:tcW w:type="dxa" w:w="24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Teguran tertulis; pelatihan wajib</w:t>
            </w:r>
          </w:p>
        </w:tc>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A.5.14, A.8.24</w:t>
            </w:r>
          </w:p>
        </w:tc>
      </w:tr>
      <w:tr>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Penggunaan media tidak resmi</w:t>
            </w:r>
          </w:p>
        </w:tc>
        <w:tc>
          <w:tcPr>
            <w:tcW w:type="dxa" w:w="27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Menyalin data ke USB pribadi</w:t>
            </w:r>
          </w:p>
        </w:tc>
        <w:tc>
          <w:tcPr>
            <w:tcW w:type="dxa" w:w="24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Teguran tertulis; SP-1; pencabutan akses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A.5.14, A.8.13</w:t>
            </w:r>
          </w:p>
        </w:tc>
      </w:tr>
      <w:tr>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Transfer tanpa NDA/DTA</w:t>
            </w:r>
          </w:p>
        </w:tc>
        <w:tc>
          <w:tcPr>
            <w:tcW w:type="dxa" w:w="2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Mengirim data Rahasia ke vendor tanpa NDA</w:t>
            </w:r>
          </w:p>
        </w:tc>
        <w:tc>
          <w:tcPr>
            <w:tcW w:type="dxa" w:w="24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Teguran tertulis; revisi kontrak; investigasi vendor</w:t>
            </w:r>
          </w:p>
        </w:tc>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A.5.14, A.6.2</w:t>
            </w:r>
          </w:p>
        </w:tc>
      </w:tr>
      <w:tr>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Kehilangan media berisi data ELI</w:t>
            </w:r>
          </w:p>
        </w:tc>
        <w:tc>
          <w:tcPr>
            <w:tcW w:type="dxa" w:w="27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USB berisi data nasabah hilang &amp; tidak dilaporkan</w:t>
            </w:r>
          </w:p>
        </w:tc>
        <w:tc>
          <w:tcPr>
            <w:tcW w:type="dxa" w:w="24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SP-1 hingga SP-3; investigasi insiden; sanksi UU PDP</w:t>
            </w:r>
          </w:p>
        </w:tc>
        <w:tc>
          <w:tcPr>
            <w:tcW w:type="dxa" w:w="2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A.5.14, UU PDP</w:t>
            </w:r>
          </w:p>
        </w:tc>
      </w:tr>
      <w:tr>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Data exfiltration (pencurian data)</w:t>
            </w:r>
          </w:p>
        </w:tc>
        <w:tc>
          <w:tcPr>
            <w:tcW w:type="dxa" w:w="2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Mentransfer data ELI ke kompetitor atau pihak tidak berwenang</w:t>
            </w:r>
          </w:p>
        </w:tc>
        <w:tc>
          <w:tcPr>
            <w:tcW w:type="dxa" w:w="24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Pemutusan hubungan kerja; tindakan hukum pidana</w:t>
            </w:r>
          </w:p>
        </w:tc>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A.5.14, UU PDP, KUHP</w:t>
            </w:r>
          </w:p>
        </w:tc>
      </w:tr>
      <w:tr>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Cross-border transfer tanpa izin</w:t>
            </w:r>
          </w:p>
        </w:tc>
        <w:tc>
          <w:tcPr>
            <w:tcW w:type="dxa" w:w="27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Transfer data nasabah ke luar negeri tanpa persetujuan DPO/OJK</w:t>
            </w:r>
          </w:p>
        </w:tc>
        <w:tc>
          <w:tcPr>
            <w:tcW w:type="dxa" w:w="24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SP-2 hingga PHK; pelaporan ke OJK; denda regulasi</w:t>
            </w:r>
          </w:p>
        </w:tc>
        <w:tc>
          <w:tcPr>
            <w:tcW w:type="dxa" w:w="2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A.5.14, UU PDP Pasal 57</w:t>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13. TINJAUAN DAN PEMBARUAN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Kebijakan ini ditinjau minimal 1 (satu) kali per tahun oleh CISO dan IT Manager.</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Tinjauan luar jadwal dilakukan jika terjadi: perubahan regulasi (UU PDP, POJK), insiden transfer data yang signifikan, perubahan teknologi atau infrastruktur transfer, atau rekomendasi hasil audit ISO 27001.</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Perubahan kebijakan dikomunikasikan kepada seluruh karyawan dan vendor terdampak dalam 5 (lima) hari kerja.</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Versi sebelumnya dipertahankan di arsip dengan status 'Tidak Berlaku'.</w:t>
      </w:r>
    </w:p>
    <w:p>
      <w:pPr>
        <w:spacing w:after="120"/>
      </w:pPr>
      <w:r>
        <w:t xml:space="preserve"/>
      </w:r>
    </w:p>
    <w:p>
      <w:pPr>
        <w:pStyle w:val="Heading1"/>
        <w:pageBreakBefore/>
      </w:pPr>
      <w:r>
        <w:rPr>
          <w:rFonts w:ascii="Arial" w:cs="Arial" w:eastAsia="Arial" w:hAnsi="Arial"/>
          <w:b/>
          <w:bCs/>
          <w:i w:val="false"/>
          <w:iCs w:val="false"/>
          <w:color w:val="1B4D35"/>
          <w:sz w:val="36"/>
          <w:szCs w:val="36"/>
        </w:rPr>
        <w:t xml:space="preserve">14. PERSETUJUAN DAN PENGESAHAN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Jabatan</w:t>
            </w:r>
          </w:p>
        </w:tc>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Nama</w:t>
            </w:r>
          </w:p>
        </w:tc>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Tanda Tangan</w:t>
            </w:r>
          </w:p>
        </w:tc>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Tanggal</w:t>
            </w:r>
          </w:p>
        </w:tc>
      </w:tr>
      <w:tr>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Penyusun — IT Security Team</w:t>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Reviewer — IT Manager</w:t>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Reviewer — DPO</w:t>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Reviewer — Internal Audit</w:t>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Pengesah — CISO</w:t>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Pengesah — Direktur Utama</w:t>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15. LAMPIRAN</w:t>
      </w:r>
    </w:p>
    <w:p>
      <w:pPr>
        <w:pStyle w:val="Heading2"/>
        <w:spacing w:before="220" w:after="100"/>
      </w:pPr>
      <w:r>
        <w:rPr>
          <w:rFonts w:ascii="Arial" w:cs="Arial" w:eastAsia="Arial" w:hAnsi="Arial"/>
          <w:b/>
          <w:bCs/>
          <w:i w:val="false"/>
          <w:iCs w:val="false"/>
          <w:color w:val="2D7A4F"/>
          <w:sz w:val="26"/>
          <w:szCs w:val="26"/>
        </w:rPr>
        <w:t xml:space="preserve">Lampiran A — Matriks Kontrol Transfer Ringkas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D6EDE0" w:val="clear"/>
            <w:tcMar>
              <w:top w:type="dxa" w:w="100"/>
              <w:left w:type="dxa" w:w="200"/>
              <w:bottom w:type="dxa" w:w="100"/>
              <w:right w:type="dxa" w:w="200"/>
            </w:tcMar>
          </w:tcPr>
          <w:p>
            <w:pPr>
              <w:spacing w:before="0" w:after="80"/>
              <w:jc w:val="left"/>
            </w:pPr>
            <w:r>
              <w:rPr>
                <w:rFonts w:ascii="Arial" w:cs="Arial" w:eastAsia="Arial" w:hAnsi="Arial"/>
                <w:b w:val="false"/>
                <w:bCs w:val="false"/>
                <w:i w:val="false"/>
                <w:iCs w:val="false"/>
                <w:color w:val="1B4D35"/>
                <w:sz w:val="19"/>
                <w:szCs w:val="19"/>
              </w:rPr>
              <w:t xml:space="preserve">Gunakan tabel berikut sebagai referensi cepat sebelum melakukan transfer informasi. Detail prosedur ada di ELI-SOP-ITS-005.</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1360"/>
        <w:gridCol w:w="2400"/>
      </w:tblGrid>
      <w:tr>
        <w:tc>
          <w:tcPr>
            <w:tcW w:type="dxa" w:w="2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Skenario Transfer</w:t>
            </w:r>
          </w:p>
        </w:tc>
        <w:tc>
          <w:tcPr>
            <w:tcW w:type="dxa" w:w="14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Klasifikasi</w:t>
            </w:r>
          </w:p>
        </w:tc>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Saluran Diizinkan</w:t>
            </w:r>
          </w:p>
        </w:tc>
        <w:tc>
          <w:tcPr>
            <w:tcW w:type="dxa" w:w="13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Enkripsi Wajib?</w:t>
            </w:r>
          </w:p>
        </w:tc>
        <w:tc>
          <w:tcPr>
            <w:tcW w:type="dxa" w:w="24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Persetujuan Dibutuhkan</w:t>
            </w:r>
          </w:p>
        </w:tc>
      </w:tr>
      <w:tr>
        <w:tc>
          <w:tcPr>
            <w:tcW w:type="dxa" w:w="2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Kirim laporan ke vendor</w:t>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RAHASIA</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SFTP + email terenkripsi</w:t>
            </w:r>
          </w:p>
        </w:tc>
        <w:tc>
          <w:tcPr>
            <w:tcW w:type="dxa" w:w="1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YA (AES-256 / TLS 1.2+)</w:t>
            </w:r>
          </w:p>
        </w:tc>
        <w:tc>
          <w:tcPr>
            <w:tcW w:type="dxa" w:w="2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Manager + NDA aktif</w:t>
            </w:r>
          </w:p>
        </w:tc>
      </w:tr>
      <w:tr>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Kirim data nasabah ke OJK</w:t>
            </w:r>
          </w:p>
        </w:tc>
        <w:tc>
          <w:tcPr>
            <w:tcW w:type="dxa" w:w="1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RAHASIA/TERBATAS</w:t>
            </w:r>
          </w:p>
        </w:tc>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Email terenkripsi / kurir resmi</w:t>
            </w:r>
          </w:p>
        </w:tc>
        <w:tc>
          <w:tcPr>
            <w:tcW w:type="dxa" w:w="1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YA</w:t>
            </w:r>
          </w:p>
        </w:tc>
        <w:tc>
          <w:tcPr>
            <w:tcW w:type="dxa" w:w="2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CISO + Direksi</w:t>
            </w:r>
          </w:p>
        </w:tc>
      </w:tr>
      <w:tr>
        <w:tc>
          <w:tcPr>
            <w:tcW w:type="dxa" w:w="2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Share file antar tim internal</w:t>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INTERNAL</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SharePoint / Teams korporat</w:t>
            </w:r>
          </w:p>
        </w:tc>
        <w:tc>
          <w:tcPr>
            <w:tcW w:type="dxa" w:w="1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Opsional</w:t>
            </w:r>
          </w:p>
        </w:tc>
        <w:tc>
          <w:tcPr>
            <w:tcW w:type="dxa" w:w="2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Tidak perlu (akun korporat)</w:t>
            </w:r>
          </w:p>
        </w:tc>
      </w:tr>
      <w:tr>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Transfer data ke cloud backup</w:t>
            </w:r>
          </w:p>
        </w:tc>
        <w:tc>
          <w:tcPr>
            <w:tcW w:type="dxa" w:w="1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RAHASIA</w:t>
            </w:r>
          </w:p>
        </w:tc>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Platform cloud resmi ELI</w:t>
            </w:r>
          </w:p>
        </w:tc>
        <w:tc>
          <w:tcPr>
            <w:tcW w:type="dxa" w:w="1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YA (client-side encryption)</w:t>
            </w:r>
          </w:p>
        </w:tc>
        <w:tc>
          <w:tcPr>
            <w:tcW w:type="dxa" w:w="2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Manager</w:t>
            </w:r>
          </w:p>
        </w:tc>
      </w:tr>
      <w:tr>
        <w:tc>
          <w:tcPr>
            <w:tcW w:type="dxa" w:w="2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Kirim dokumen fisik Rahasia</w:t>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RAHASIA</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Kurir resmi + amplop segel</w:t>
            </w:r>
          </w:p>
        </w:tc>
        <w:tc>
          <w:tcPr>
            <w:tcW w:type="dxa" w:w="1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N/A (fisik)</w:t>
            </w:r>
          </w:p>
        </w:tc>
        <w:tc>
          <w:tcPr>
            <w:tcW w:type="dxa" w:w="2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Manager; tanda terima wajib</w:t>
            </w:r>
          </w:p>
        </w:tc>
      </w:tr>
      <w:tr>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Transfer data ke luar negeri</w:t>
            </w:r>
          </w:p>
        </w:tc>
        <w:tc>
          <w:tcPr>
            <w:tcW w:type="dxa" w:w="1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APAPUN (data pribadi)</w:t>
            </w:r>
          </w:p>
        </w:tc>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Sesuai DTA yang disetujui</w:t>
            </w:r>
          </w:p>
        </w:tc>
        <w:tc>
          <w:tcPr>
            <w:tcW w:type="dxa" w:w="1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YA</w:t>
            </w:r>
          </w:p>
        </w:tc>
        <w:tc>
          <w:tcPr>
            <w:tcW w:type="dxa" w:w="2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DPO + CISO + izin OJK</w:t>
            </w:r>
          </w:p>
        </w:tc>
      </w:tr>
      <w:tr>
        <w:tc>
          <w:tcPr>
            <w:tcW w:type="dxa" w:w="2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Integrasi API dengan mitra</w:t>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RAHASIA</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HTTPS mTLS / OAuth 2.0</w:t>
            </w:r>
          </w:p>
        </w:tc>
        <w:tc>
          <w:tcPr>
            <w:tcW w:type="dxa" w:w="1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YA (TLS 1.2+)</w:t>
            </w:r>
          </w:p>
        </w:tc>
        <w:tc>
          <w:tcPr>
            <w:tcW w:type="dxa" w:w="2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CISO + kontrak keamanan</w:t>
            </w:r>
          </w:p>
        </w:tc>
      </w:tr>
    </w:tbl>
    <w:p>
      <w:pPr>
        <w:spacing w:after="80"/>
      </w:pPr>
      <w:r>
        <w:t xml:space="preserve"/>
      </w:r>
    </w:p>
    <w:p>
      <w:pPr>
        <w:pStyle w:val="Heading2"/>
        <w:spacing w:before="220" w:after="100"/>
      </w:pPr>
      <w:r>
        <w:rPr>
          <w:rFonts w:ascii="Arial" w:cs="Arial" w:eastAsia="Arial" w:hAnsi="Arial"/>
          <w:b/>
          <w:bCs/>
          <w:i w:val="false"/>
          <w:iCs w:val="false"/>
          <w:color w:val="2D7A4F"/>
          <w:sz w:val="26"/>
          <w:szCs w:val="26"/>
        </w:rPr>
        <w:t xml:space="preserve">Lampiran B — Daftar Platform dan Protokol yang Diizinkan / Dilarang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4160"/>
      </w:tblGrid>
      <w:tr>
        <w:tc>
          <w:tcPr>
            <w:tcW w:type="dxa" w:w="16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Kategori</w:t>
            </w:r>
          </w:p>
        </w:tc>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Platform / Protokol</w:t>
            </w:r>
          </w:p>
        </w:tc>
        <w:tc>
          <w:tcPr>
            <w:tcW w:type="dxa" w:w="14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Status</w:t>
            </w:r>
          </w:p>
        </w:tc>
        <w:tc>
          <w:tcPr>
            <w:tcW w:type="dxa" w:w="41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Catatan</w:t>
            </w:r>
          </w:p>
        </w:tc>
      </w:tr>
      <w:tr>
        <w:tc>
          <w:tcPr>
            <w:tcW w:type="dxa" w:w="1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Email</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Email korporat ELI (@equitylife.co.id)</w:t>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DIIZINKAN</w:t>
            </w:r>
          </w:p>
        </w:tc>
        <w:tc>
          <w:tcPr>
            <w:tcW w:type="dxa" w:w="4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Wajib TLS; lampiran sensitif harus terenkripsi</w:t>
            </w:r>
          </w:p>
        </w:tc>
      </w:tr>
      <w:tr>
        <w:tc>
          <w:tcPr>
            <w:tcW w:type="dxa" w:w="1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Email</w:t>
            </w:r>
          </w:p>
        </w:tc>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Gmail / Yahoo / Hotmail (pribadi)</w:t>
            </w:r>
          </w:p>
        </w:tc>
        <w:tc>
          <w:tcPr>
            <w:tcW w:type="dxa" w:w="1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DILARANG</w:t>
            </w:r>
          </w:p>
        </w:tc>
        <w:tc>
          <w:tcPr>
            <w:tcW w:type="dxa" w:w="41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Dilarang untuk semua klasifikasi Internal ke atas</w:t>
            </w:r>
          </w:p>
        </w:tc>
      </w:tr>
      <w:tr>
        <w:tc>
          <w:tcPr>
            <w:tcW w:type="dxa" w:w="1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File Transfer</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SFTP, FTPS, SCP</w:t>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DIIZINKAN</w:t>
            </w:r>
          </w:p>
        </w:tc>
        <w:tc>
          <w:tcPr>
            <w:tcW w:type="dxa" w:w="4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Standar utama; SSH key auth wajib</w:t>
            </w:r>
          </w:p>
        </w:tc>
      </w:tr>
      <w:tr>
        <w:tc>
          <w:tcPr>
            <w:tcW w:type="dxa" w:w="1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File Transfer</w:t>
            </w:r>
          </w:p>
        </w:tc>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FTP plain, HTTP</w:t>
            </w:r>
          </w:p>
        </w:tc>
        <w:tc>
          <w:tcPr>
            <w:tcW w:type="dxa" w:w="1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DILARANG</w:t>
            </w:r>
          </w:p>
        </w:tc>
        <w:tc>
          <w:tcPr>
            <w:tcW w:type="dxa" w:w="41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Tidak ada enkripsi sama sekali</w:t>
            </w:r>
          </w:p>
        </w:tc>
      </w:tr>
      <w:tr>
        <w:tc>
          <w:tcPr>
            <w:tcW w:type="dxa" w:w="1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Cloud Storage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SharePoint Online M365 ELI</w:t>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DIIZINKAN</w:t>
            </w:r>
          </w:p>
        </w:tc>
        <w:tc>
          <w:tcPr>
            <w:tcW w:type="dxa" w:w="4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Hingga Rahasia; MFA wajib</w:t>
            </w:r>
          </w:p>
        </w:tc>
      </w:tr>
      <w:tr>
        <w:tc>
          <w:tcPr>
            <w:tcW w:type="dxa" w:w="1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Cloud Storage</w:t>
            </w:r>
          </w:p>
        </w:tc>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Google Drive pribadi / Dropbox / WeTransfer</w:t>
            </w:r>
          </w:p>
        </w:tc>
        <w:tc>
          <w:tcPr>
            <w:tcW w:type="dxa" w:w="1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DILARANG</w:t>
            </w:r>
          </w:p>
        </w:tc>
        <w:tc>
          <w:tcPr>
            <w:tcW w:type="dxa" w:w="41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Semua klasifikasi</w:t>
            </w:r>
          </w:p>
        </w:tc>
      </w:tr>
      <w:tr>
        <w:tc>
          <w:tcPr>
            <w:tcW w:type="dxa" w:w="1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Pesan Instan</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Microsoft Teams (akun korporat ELI)</w:t>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DIIZINKAN</w:t>
            </w:r>
          </w:p>
        </w:tc>
        <w:tc>
          <w:tcPr>
            <w:tcW w:type="dxa" w:w="4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Hingga Internal; Rahasia hanya darurat P1</w:t>
            </w:r>
          </w:p>
        </w:tc>
      </w:tr>
      <w:tr>
        <w:tc>
          <w:tcPr>
            <w:tcW w:type="dxa" w:w="1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Pesan Instan</w:t>
            </w:r>
          </w:p>
        </w:tc>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WhatsApp / Telegram / LINE (pribadi)</w:t>
            </w:r>
          </w:p>
        </w:tc>
        <w:tc>
          <w:tcPr>
            <w:tcW w:type="dxa" w:w="1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DILARANG</w:t>
            </w:r>
          </w:p>
        </w:tc>
        <w:tc>
          <w:tcPr>
            <w:tcW w:type="dxa" w:w="41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Semua klasifikasi Internal ke atas</w:t>
            </w:r>
          </w:p>
        </w:tc>
      </w:tr>
      <w:tr>
        <w:tc>
          <w:tcPr>
            <w:tcW w:type="dxa" w:w="1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Media Fisik</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USB terenkripsi (ELI-issued)</w:t>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DIIZINKAN</w:t>
            </w:r>
          </w:p>
        </w:tc>
        <w:tc>
          <w:tcPr>
            <w:tcW w:type="dxa" w:w="4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AES-256 hardware; log wajib</w:t>
            </w:r>
          </w:p>
        </w:tc>
      </w:tr>
      <w:tr>
        <w:tc>
          <w:tcPr>
            <w:tcW w:type="dxa" w:w="1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Media Fisik</w:t>
            </w:r>
          </w:p>
        </w:tc>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USB pribadi / non-encrypted</w:t>
            </w:r>
          </w:p>
        </w:tc>
        <w:tc>
          <w:tcPr>
            <w:tcW w:type="dxa" w:w="1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DILARANG</w:t>
            </w:r>
          </w:p>
        </w:tc>
        <w:tc>
          <w:tcPr>
            <w:tcW w:type="dxa" w:w="41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Semua klasifikasi</w:t>
            </w:r>
          </w:p>
        </w:tc>
      </w:tr>
      <w:tr>
        <w:tc>
          <w:tcPr>
            <w:tcW w:type="dxa" w:w="1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API</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OAuth 2.0 / mTLS / API Key over HTTPS</w:t>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DIIZINKAN</w:t>
            </w:r>
          </w:p>
        </w:tc>
        <w:tc>
          <w:tcPr>
            <w:tcW w:type="dxa" w:w="4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TLS 1.2+ wajib; log akses wajib</w:t>
            </w:r>
          </w:p>
        </w:tc>
      </w:tr>
      <w:tr>
        <w:tc>
          <w:tcPr>
            <w:tcW w:type="dxa" w:w="1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API</w:t>
            </w:r>
          </w:p>
        </w:tc>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HTTP plain / Basic Auth over HTTP</w:t>
            </w:r>
          </w:p>
        </w:tc>
        <w:tc>
          <w:tcPr>
            <w:tcW w:type="dxa" w:w="1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DILARANG</w:t>
            </w:r>
          </w:p>
        </w:tc>
        <w:tc>
          <w:tcPr>
            <w:tcW w:type="dxa" w:w="41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Tidak aman; dilarang di produksi</w:t>
            </w:r>
          </w:p>
        </w:tc>
      </w:tr>
    </w:tbl>
    <w:p>
      <w:pPr>
        <w:spacing w:after="80"/>
      </w:pPr>
      <w:r>
        <w:t xml:space="preserve"/>
      </w:r>
    </w:p>
    <w:p>
      <w:pPr>
        <w:pStyle w:val="Heading2"/>
        <w:spacing w:before="220" w:after="100"/>
      </w:pPr>
      <w:r>
        <w:rPr>
          <w:rFonts w:ascii="Arial" w:cs="Arial" w:eastAsia="Arial" w:hAnsi="Arial"/>
          <w:b/>
          <w:bCs/>
          <w:i w:val="false"/>
          <w:iCs w:val="false"/>
          <w:color w:val="2D7A4F"/>
          <w:sz w:val="26"/>
          <w:szCs w:val="26"/>
        </w:rPr>
        <w:t xml:space="preserve">Lampiran C — Dokumen Terkait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Kode</w:t>
            </w:r>
          </w:p>
        </w:tc>
        <w:tc>
          <w:tcPr>
            <w:tcW w:type="dxa" w:w="4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Judul</w:t>
            </w:r>
          </w:p>
        </w:tc>
        <w:tc>
          <w:tcPr>
            <w:tcW w:type="dxa" w:w="29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Keterangan</w:t>
            </w:r>
          </w:p>
        </w:tc>
      </w:tr>
      <w:tr>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ELI-SOP-ITS-005</w:t>
            </w:r>
          </w:p>
        </w:tc>
        <w:tc>
          <w:tcPr>
            <w:tcW w:type="dxa" w:w="4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SOP Perpindahan Informasi</w:t>
            </w:r>
          </w:p>
        </w:tc>
        <w:tc>
          <w:tcPr>
            <w:tcW w:type="dxa" w:w="29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Prosedur teknis pelaksanaan kebijakan ini</w:t>
            </w:r>
          </w:p>
        </w:tc>
      </w:tr>
      <w:tr>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ELI-POL-ITS-001</w:t>
            </w:r>
          </w:p>
        </w:tc>
        <w:tc>
          <w:tcPr>
            <w:tcW w:type="dxa" w:w="4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Kebijakan Keamanan Informasi</w:t>
            </w:r>
          </w:p>
        </w:tc>
        <w:tc>
          <w:tcPr>
            <w:tcW w:type="dxa" w:w="29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Kebijakan induk ISMS ELI</w:t>
            </w:r>
          </w:p>
        </w:tc>
      </w:tr>
      <w:tr>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ELI-POL-ITS-004</w:t>
            </w:r>
          </w:p>
        </w:tc>
        <w:tc>
          <w:tcPr>
            <w:tcW w:type="dxa" w:w="4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Kebijakan Communication Plan</w:t>
            </w:r>
          </w:p>
        </w:tc>
        <w:tc>
          <w:tcPr>
            <w:tcW w:type="dxa" w:w="29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Komunikasi insiden terkait transfer</w:t>
            </w:r>
          </w:p>
        </w:tc>
      </w:tr>
      <w:tr>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ELI-POL-ITS-006</w:t>
            </w:r>
          </w:p>
        </w:tc>
        <w:tc>
          <w:tcPr>
            <w:tcW w:type="dxa" w:w="4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Kebijakan Klasifikasi Informasi (jika ada)</w:t>
            </w:r>
          </w:p>
        </w:tc>
        <w:tc>
          <w:tcPr>
            <w:tcW w:type="dxa" w:w="29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Definisi dan label klasifikasi informasi ELI</w:t>
            </w:r>
          </w:p>
        </w:tc>
      </w:tr>
      <w:tr>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ELI-FORM-ITS-004</w:t>
            </w:r>
          </w:p>
        </w:tc>
        <w:tc>
          <w:tcPr>
            <w:tcW w:type="dxa" w:w="4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Formulir Teguran Pelanggaran</w:t>
            </w:r>
          </w:p>
        </w:tc>
        <w:tc>
          <w:tcPr>
            <w:tcW w:type="dxa" w:w="29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Penanganan pelanggaran transfer informasi</w:t>
            </w:r>
          </w:p>
        </w:tc>
      </w:tr>
      <w:tr>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ISO/IEC 27001:2022 A.5.14</w:t>
            </w:r>
          </w:p>
        </w:tc>
        <w:tc>
          <w:tcPr>
            <w:tcW w:type="dxa" w:w="4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Information Transfer</w:t>
            </w:r>
          </w:p>
        </w:tc>
        <w:tc>
          <w:tcPr>
            <w:tcW w:type="dxa" w:w="29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Kontrol referensi utama</w:t>
            </w:r>
          </w:p>
        </w:tc>
      </w:tr>
      <w:tr>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ISO/IEC 27002:2022 5.14</w:t>
            </w:r>
          </w:p>
        </w:tc>
        <w:tc>
          <w:tcPr>
            <w:tcW w:type="dxa" w:w="4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Information Transfer — Implementation Guidance</w:t>
            </w:r>
          </w:p>
        </w:tc>
        <w:tc>
          <w:tcPr>
            <w:tcW w:type="dxa" w:w="29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Panduan implementasi</w:t>
            </w:r>
          </w:p>
        </w:tc>
      </w:tr>
      <w:tr>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UU No.27/2022</w:t>
            </w:r>
          </w:p>
        </w:tc>
        <w:tc>
          <w:tcPr>
            <w:tcW w:type="dxa" w:w="4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Undang-Undang Pelindungan Data Pribadi</w:t>
            </w:r>
          </w:p>
        </w:tc>
        <w:tc>
          <w:tcPr>
            <w:tcW w:type="dxa" w:w="29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Regulasi transfer data pribadi</w:t>
            </w:r>
          </w:p>
        </w:tc>
      </w:tr>
    </w:tbl>
    <w:p>
      <w:pPr>
        <w:spacing w:after="120"/>
      </w:pPr>
      <w:r>
        <w:t xml:space="preserve"/>
      </w:r>
    </w:p>
    <w:sectPr>
      <w:headerReference w:type="default" r:id="rId6"/>
      <w:footerReference w:type="default" r:id="rId7"/>
      <w:pgSz w:w="12240" w:h="15840" w:orient="portrait"/>
      <w:pgMar w:top="1080" w:right="90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CAF7D" w:sz="6" w:space="1"/>
      </w:pBdr>
      <w:spacing w:before="80"/>
      <w:jc w:val="right"/>
    </w:pPr>
    <w:r>
      <w:rPr>
        <w:rFonts w:ascii="Arial" w:cs="Arial" w:eastAsia="Arial" w:hAnsi="Arial"/>
        <w:b w:val="false"/>
        <w:bCs w:val="false"/>
        <w:i w:val="false"/>
        <w:iCs w:val="false"/>
        <w:color w:val="555555"/>
        <w:sz w:val="16"/>
        <w:szCs w:val="16"/>
      </w:rPr>
      <w:t xml:space="preserve">PT Equity Life Indonesia  |  Halaman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55555"/>
        <w:sz w:val="16"/>
        <w:szCs w:val="16"/>
      </w:rPr>
      <w:t xml:space="preserve"> dari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7A4F" w:sz="6" w:space="1"/>
      </w:pBdr>
      <w:spacing w:after="80"/>
    </w:pPr>
    <w:r>
      <w:rPr>
        <w:rFonts w:ascii="Arial" w:cs="Arial" w:eastAsia="Arial" w:hAnsi="Arial"/>
        <w:b/>
        <w:bCs/>
        <w:i w:val="false"/>
        <w:iCs w:val="false"/>
        <w:color w:val="2D7A4F"/>
        <w:sz w:val="18"/>
        <w:szCs w:val="18"/>
      </w:rPr>
      <w:t xml:space="preserve">ELI-POL-ITS-005  |  Kebijakan Perpindahan Informasi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D35"/>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2D7A4F"/>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D7A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2026-03-10T21:48:20.590Z</dcterms:created>
  <dcterms:modified xsi:type="dcterms:W3CDTF">2026-03-10T21:48:20.590Z</dcterms:modified>
</cp:coreProperties>
</file>

<file path=docProps/custom.xml><?xml version="1.0" encoding="utf-8"?>
<Properties xmlns="http://schemas.openxmlformats.org/officeDocument/2006/custom-properties" xmlns:vt="http://schemas.openxmlformats.org/officeDocument/2006/docPropsVTypes"/>
</file>