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B4D35" w:val="clear"/>
            <w:tcMar>
              <w:top w:type="dxa" w:w="180"/>
              <w:left w:type="dxa" w:w="300"/>
              <w:bottom w:type="dxa" w:w="80"/>
              <w:right w:type="dxa" w:w="300"/>
            </w:tcMar>
          </w:tcPr>
          <w:p>
            <w:pPr>
              <w:spacing w:before="0" w:after="40"/>
              <w:jc w:val="center"/>
            </w:pPr>
            <w:r>
              <w:rPr>
                <w:rFonts w:ascii="Arial" w:cs="Arial" w:eastAsia="Arial" w:hAnsi="Arial"/>
                <w:b/>
                <w:bCs/>
                <w:i w:val="false"/>
                <w:iCs w:val="false"/>
                <w:color w:val="FFFFFF"/>
                <w:sz w:val="22"/>
                <w:szCs w:val="22"/>
              </w:rPr>
              <w:t xml:space="preserve">PT EQUITY LIFE INDONESIA</w:t>
            </w:r>
          </w:p>
          <w:p>
            <w:pPr>
              <w:spacing w:before="0" w:after="80"/>
              <w:jc w:val="center"/>
            </w:pPr>
            <w:r>
              <w:rPr>
                <w:rFonts w:ascii="Arial" w:cs="Arial" w:eastAsia="Arial" w:hAnsi="Arial"/>
                <w:b w:val="false"/>
                <w:bCs w:val="false"/>
                <w:i w:val="false"/>
                <w:iCs w:val="false"/>
                <w:color w:val="B8D4C6"/>
                <w:sz w:val="18"/>
                <w:szCs w:val="18"/>
              </w:rPr>
              <w:t xml:space="preserve">Divisi Teknologi Informasi &amp; Keamanan Informasi</w:t>
            </w:r>
          </w:p>
        </w:tc>
      </w:tr>
      <w:tr>
        <w:tc>
          <w:tcPr>
            <w:tcW w:type="dxa" w:w="9360"/>
            <w:tcBorders>
              <w:top w:val="single" w:color="BDBDBD" w:sz="1"/>
              <w:left w:val="single" w:color="BDBDBD" w:sz="1"/>
              <w:bottom w:val="single" w:color="BDBDBD" w:sz="1"/>
              <w:right w:val="single" w:color="BDBDBD" w:sz="1"/>
            </w:tcBorders>
            <w:shd w:fill="2D7A4F" w:val="clear"/>
            <w:tcMar>
              <w:top w:type="dxa" w:w="60"/>
              <w:left w:type="dxa" w:w="300"/>
              <w:bottom w:type="dxa" w:w="60"/>
              <w:right w:type="dxa" w:w="300"/>
            </w:tcMar>
          </w:tcPr>
          <w:p>
            <w:pPr>
              <w:spacing w:before="0" w:after="80"/>
              <w:jc w:val="center"/>
            </w:pPr>
            <w:r>
              <w:rPr>
                <w:rFonts w:ascii="Arial" w:cs="Arial" w:eastAsia="Arial" w:hAnsi="Arial"/>
                <w:b w:val="false"/>
                <w:bCs w:val="false"/>
                <w:i w:val="false"/>
                <w:iCs w:val="false"/>
                <w:color w:val="D6EDE0"/>
                <w:sz w:val="18"/>
                <w:szCs w:val="18"/>
              </w:rPr>
              <w:t xml:space="preserve">ELI-SOP-ITS-005</w:t>
            </w:r>
          </w:p>
        </w:tc>
      </w:tr>
      <w:tr>
        <w:tc>
          <w:tcPr>
            <w:tcW w:type="dxa" w:w="9360"/>
            <w:tcBorders>
              <w:top w:val="single" w:color="BDBDBD" w:sz="1"/>
              <w:left w:val="single" w:color="BDBDBD" w:sz="1"/>
              <w:bottom w:val="single" w:color="BDBDBD" w:sz="1"/>
              <w:right w:val="single" w:color="BDBDBD" w:sz="1"/>
            </w:tcBorders>
            <w:shd w:fill="D6EDE0" w:val="clear"/>
            <w:tcMar>
              <w:top w:type="dxa" w:w="160"/>
              <w:left w:type="dxa" w:w="300"/>
              <w:bottom w:type="dxa" w:w="160"/>
              <w:right w:type="dxa" w:w="300"/>
            </w:tcMar>
          </w:tcPr>
          <w:p>
            <w:pPr>
              <w:spacing w:before="0" w:after="40"/>
              <w:jc w:val="center"/>
            </w:pPr>
            <w:r>
              <w:rPr>
                <w:rFonts w:ascii="Arial" w:cs="Arial" w:eastAsia="Arial" w:hAnsi="Arial"/>
                <w:b/>
                <w:bCs/>
                <w:i w:val="false"/>
                <w:iCs w:val="false"/>
                <w:color w:val="1B4D35"/>
                <w:sz w:val="32"/>
                <w:szCs w:val="32"/>
              </w:rPr>
              <w:t xml:space="preserve">SOP PERPINDAHAN INFORMASI</w:t>
            </w:r>
          </w:p>
          <w:p>
            <w:pPr>
              <w:spacing w:before="0" w:after="80"/>
              <w:jc w:val="center"/>
            </w:pPr>
            <w:r>
              <w:rPr>
                <w:rFonts w:ascii="Arial" w:cs="Arial" w:eastAsia="Arial" w:hAnsi="Arial"/>
                <w:b w:val="false"/>
                <w:bCs w:val="false"/>
                <w:i/>
                <w:iCs/>
                <w:color w:val="2D7A4F"/>
                <w:sz w:val="20"/>
                <w:szCs w:val="20"/>
              </w:rPr>
              <w:t xml:space="preserve">Standard Operating Procedure — Information Transfer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Kode Dokumen</w:t>
            </w:r>
          </w:p>
        </w:tc>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Versi</w:t>
            </w:r>
          </w:p>
        </w:tc>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Status</w:t>
            </w:r>
          </w:p>
        </w:tc>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Klasifikasi</w:t>
            </w:r>
          </w:p>
        </w:tc>
      </w:tr>
      <w:tr>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val="false"/>
                <w:bCs w:val="false"/>
                <w:i w:val="false"/>
                <w:iCs w:val="false"/>
                <w:color w:val="1A1A1A"/>
                <w:sz w:val="20"/>
                <w:szCs w:val="20"/>
              </w:rPr>
              <w:t xml:space="preserve">ELI-SOP-ITS-005</w:t>
            </w:r>
          </w:p>
        </w:tc>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val="false"/>
                <w:bCs w:val="false"/>
                <w:i w:val="false"/>
                <w:iCs w:val="false"/>
                <w:color w:val="1A1A1A"/>
                <w:sz w:val="20"/>
                <w:szCs w:val="20"/>
              </w:rPr>
              <w:t xml:space="preserve">v1.0</w:t>
            </w:r>
          </w:p>
        </w:tc>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val="false"/>
                <w:bCs w:val="false"/>
                <w:i w:val="false"/>
                <w:iCs w:val="false"/>
                <w:color w:val="1A1A1A"/>
                <w:sz w:val="20"/>
                <w:szCs w:val="20"/>
              </w:rPr>
              <w:t xml:space="preserve">Aktif</w:t>
            </w:r>
          </w:p>
        </w:tc>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val="false"/>
                <w:bCs w:val="false"/>
                <w:i w:val="false"/>
                <w:iCs w:val="false"/>
                <w:color w:val="1A1A1A"/>
                <w:sz w:val="20"/>
                <w:szCs w:val="20"/>
              </w:rPr>
              <w:t xml:space="preserve">INTERNAL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Kebijakan Acuan</w:t>
            </w:r>
          </w:p>
        </w:tc>
        <w:tc>
          <w:tcPr>
            <w:tcW w:type="dxa" w:w="7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ELI-POL-ITS-005 — Kebijakan Perpindahan Informasi</w:t>
            </w:r>
          </w:p>
        </w:tc>
      </w:tr>
      <w:tr>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Pemilik Dokumen</w:t>
            </w:r>
          </w:p>
        </w:tc>
        <w:tc>
          <w:tcPr>
            <w:tcW w:type="dxa" w:w="7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CISO / IT Manager</w:t>
            </w:r>
          </w:p>
        </w:tc>
      </w:tr>
      <w:tr>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Berlaku untuk</w:t>
            </w:r>
          </w:p>
        </w:tc>
        <w:tc>
          <w:tcPr>
            <w:tcW w:type="dxa" w:w="7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Team, IT Security, DPO, seluruh karyawan, dan vendor ELI</w:t>
            </w:r>
          </w:p>
        </w:tc>
      </w:tr>
      <w:tr>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Tanggal Berlaku</w:t>
            </w:r>
          </w:p>
        </w:tc>
        <w:tc>
          <w:tcPr>
            <w:tcW w:type="dxa" w:w="7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2026-03-01</w:t>
            </w:r>
          </w:p>
        </w:tc>
      </w:tr>
      <w:tr>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Review Berikutnya</w:t>
            </w:r>
          </w:p>
        </w:tc>
        <w:tc>
          <w:tcPr>
            <w:tcW w:type="dxa" w:w="7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Tahunan atau setelah perubahan signifikan pada kebijakan / regulasi</w:t>
            </w:r>
          </w:p>
        </w:tc>
      </w:tr>
      <w:tr>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Referensi ISO</w:t>
            </w:r>
          </w:p>
        </w:tc>
        <w:tc>
          <w:tcPr>
            <w:tcW w:type="dxa" w:w="7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ISO/IEC 27001:2022 — A.5.14, A.8.13, A.8.24, A.8.26; ISO/IEC 27002:2022 5.14; UU PDP No.27/2022</w:t>
            </w:r>
          </w:p>
        </w:tc>
      </w:tr>
    </w:tbl>
    <w:p>
      <w:pPr>
        <w:spacing w:after="100"/>
      </w:pPr>
      <w:r>
        <w:t xml:space="preserve"/>
      </w:r>
    </w:p>
    <w:p>
      <w:pPr>
        <w:pStyle w:val="Heading2"/>
        <w:spacing w:before="220" w:after="100"/>
      </w:pPr>
      <w:r>
        <w:rPr>
          <w:rFonts w:ascii="Arial" w:cs="Arial" w:eastAsia="Arial" w:hAnsi="Arial"/>
          <w:b/>
          <w:bCs/>
          <w:i w:val="false"/>
          <w:iCs w:val="false"/>
          <w:color w:val="2D7A4F"/>
          <w:sz w:val="26"/>
          <w:szCs w:val="26"/>
        </w:rPr>
        <w:t xml:space="preserve">Riwayat Versi</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000"/>
        <w:gridCol w:w="2000"/>
        <w:gridCol w:w="2560"/>
      </w:tblGrid>
      <w:tr>
        <w:tc>
          <w:tcPr>
            <w:tcW w:type="dxa" w:w="1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Versi</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Tanggal</w:t>
            </w:r>
          </w:p>
        </w:tc>
        <w:tc>
          <w:tcPr>
            <w:tcW w:type="dxa" w:w="2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Penulis</w:t>
            </w:r>
          </w:p>
        </w:tc>
        <w:tc>
          <w:tcPr>
            <w:tcW w:type="dxa" w:w="2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Reviewer</w:t>
            </w:r>
          </w:p>
        </w:tc>
        <w:tc>
          <w:tcPr>
            <w:tcW w:type="dxa" w:w="25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Deskripsi</w:t>
            </w:r>
          </w:p>
        </w:tc>
      </w:tr>
      <w:tr>
        <w:tc>
          <w:tcPr>
            <w:tcW w:type="dxa" w:w="1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val="false"/>
                <w:bCs w:val="false"/>
                <w:i w:val="false"/>
                <w:iCs w:val="false"/>
                <w:color w:val="1A1A1A"/>
                <w:sz w:val="20"/>
                <w:szCs w:val="20"/>
              </w:rPr>
              <w:t xml:space="preserve">v1.0</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2026-03-01</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Security Team</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CISO / IT Manager</w:t>
            </w:r>
          </w:p>
        </w:tc>
        <w:tc>
          <w:tcPr>
            <w:tcW w:type="dxa" w:w="2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Dokumen awal SOP Perpindahan Informasi ELI</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1. TUJUAN DAN RUANG LINGKUP</w:t>
      </w:r>
    </w:p>
    <w:p>
      <w:pPr>
        <w:pStyle w:val="Heading2"/>
        <w:spacing w:before="220" w:after="100"/>
      </w:pPr>
      <w:r>
        <w:rPr>
          <w:rFonts w:ascii="Arial" w:cs="Arial" w:eastAsia="Arial" w:hAnsi="Arial"/>
          <w:b/>
          <w:bCs/>
          <w:i w:val="false"/>
          <w:iCs w:val="false"/>
          <w:color w:val="2D7A4F"/>
          <w:sz w:val="26"/>
          <w:szCs w:val="26"/>
        </w:rPr>
        <w:t xml:space="preserve">1.1 Tujuan</w:t>
      </w:r>
    </w:p>
    <w:p>
      <w:pPr>
        <w:spacing w:before="0" w:after="160"/>
        <w:jc w:val="left"/>
      </w:pPr>
      <w:r>
        <w:rPr>
          <w:rFonts w:ascii="Arial" w:cs="Arial" w:eastAsia="Arial" w:hAnsi="Arial"/>
          <w:b w:val="false"/>
          <w:bCs w:val="false"/>
          <w:i w:val="false"/>
          <w:iCs w:val="false"/>
          <w:color w:val="1A1A1A"/>
          <w:sz w:val="20"/>
          <w:szCs w:val="20"/>
        </w:rPr>
        <w:t xml:space="preserve">SOP ini menjabarkan instruksi kerja teknis dan operasional untuk melaksanakan Kebijakan Perpindahan Informasi ELI-POL-ITS-005. SOP ini memberikan panduan langkah-demi-langkah kepada seluruh pihak yang terlibat dalam transfer informasi di PT Equity Life Indonesia, mencakup prosedur untuk transfer elektronik, transfer fisik, transfer kepada pihak ketiga, serta penanganan insiden terkait transfer.</w:t>
      </w:r>
    </w:p>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1.2 Ruang Lingkup</w:t>
      </w:r>
    </w:p>
    <w:p>
      <w:pPr>
        <w:spacing w:before="0" w:after="100"/>
        <w:jc w:val="left"/>
      </w:pPr>
      <w:r>
        <w:rPr>
          <w:rFonts w:ascii="Arial" w:cs="Arial" w:eastAsia="Arial" w:hAnsi="Arial"/>
          <w:b w:val="false"/>
          <w:bCs w:val="false"/>
          <w:i w:val="false"/>
          <w:iCs w:val="false"/>
          <w:color w:val="1A1A1A"/>
          <w:sz w:val="20"/>
          <w:szCs w:val="20"/>
        </w:rPr>
        <w:t xml:space="preserve">SOP ini mencakup delapan prosedur utama:</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P1 — Pre-Transfer Assessment: penilaian sebelum melakukan transfer informasi.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P2 — Transfer Email Aman: prosedur pengiriman informasi via email korporat.</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P3 — Transfer via SFTP/FTPS: prosedur file transfer menggunakan protokol aman.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P4 — Transfer via Cloud Storage Resmi: prosedur berbagi file melalui platform cloud ELI.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P5 — Transfer Fisik (Dokumen &amp; Media): prosedur transfer dokumen cetak dan media penyimpanan.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P6 — Transfer API / Integrasi Sistem: prosedur transfer data antar sistem.</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P7 — Transfer kepada Pihak Ketiga (Vendor/Regulator): prosedur onboarding dan transfer ke pihak eksternal.</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P8 — Cross-Border Data Transfer: prosedur khusus transfer data lintas batas negara.</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P9 — Penanganan Insiden Transfer Informasi: prosedur respons insiden terkait transfer.</w:t>
      </w:r>
    </w:p>
    <w:p>
      <w:pPr>
        <w:spacing w:after="120"/>
      </w:pPr>
      <w:r>
        <w:t xml:space="preserve"/>
      </w:r>
    </w:p>
    <w:p>
      <w:pPr>
        <w:pStyle w:val="Heading1"/>
        <w:pageBreakBefore/>
      </w:pPr>
      <w:r>
        <w:rPr>
          <w:rFonts w:ascii="Arial" w:cs="Arial" w:eastAsia="Arial" w:hAnsi="Arial"/>
          <w:b/>
          <w:bCs/>
          <w:i w:val="false"/>
          <w:iCs w:val="false"/>
          <w:color w:val="1B4D35"/>
          <w:sz w:val="36"/>
          <w:szCs w:val="36"/>
        </w:rPr>
        <w:t xml:space="preserve">2. PRASYARAT</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Semua pengguna yang melakukan transfer informasi wajib telah membaca dan memahami ELI-POL-ITS-005.</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Akun email korporat aktif dan dikonfigurasi dengan TLS.</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Akses ke SFTP server, SharePoint, dan sistem transfer resmi ELI telah diberikan sesuai peran.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Media penyimpanan yang digunakan adalah media resmi yang dikeluarkan oleh IT ELI (bukan milik pribadi).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NDA dan DTA dengan pihak ketiga telah ditandatangani dan diverifikasi aktif sebelum transfer pertama.</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Untuk transfer data pribadi, DPO telah dikonsultasikan dan dokumentasi transfer record tersedia.</w:t>
      </w:r>
    </w:p>
    <w:p>
      <w:pPr>
        <w:spacing w:after="120"/>
      </w:pPr>
      <w:r>
        <w:t xml:space="preserve"/>
      </w:r>
    </w:p>
    <w:p>
      <w:pPr>
        <w:pStyle w:val="Heading1"/>
        <w:pageBreakBefore/>
      </w:pPr>
      <w:r>
        <w:rPr>
          <w:rFonts w:ascii="Arial" w:cs="Arial" w:eastAsia="Arial" w:hAnsi="Arial"/>
          <w:b/>
          <w:bCs/>
          <w:i w:val="false"/>
          <w:iCs w:val="false"/>
          <w:color w:val="1B4D35"/>
          <w:sz w:val="36"/>
          <w:szCs w:val="36"/>
        </w:rPr>
        <w:t xml:space="preserve">3. P1 — PRE-TRANSFER ASSESSMENT</w:t>
      </w:r>
    </w:p>
    <w:p>
      <w:pPr>
        <w:pStyle w:val="Heading2"/>
        <w:spacing w:before="220" w:after="100"/>
      </w:pPr>
      <w:r>
        <w:rPr>
          <w:rFonts w:ascii="Arial" w:cs="Arial" w:eastAsia="Arial" w:hAnsi="Arial"/>
          <w:b/>
          <w:bCs/>
          <w:i w:val="false"/>
          <w:iCs w:val="false"/>
          <w:color w:val="2D7A4F"/>
          <w:sz w:val="26"/>
          <w:szCs w:val="26"/>
        </w:rPr>
        <w:t xml:space="preserve">3.1 Tujuan</w:t>
      </w:r>
    </w:p>
    <w:p>
      <w:pPr>
        <w:spacing w:before="0" w:after="100"/>
        <w:jc w:val="left"/>
      </w:pPr>
      <w:r>
        <w:rPr>
          <w:rFonts w:ascii="Arial" w:cs="Arial" w:eastAsia="Arial" w:hAnsi="Arial"/>
          <w:b w:val="false"/>
          <w:bCs w:val="false"/>
          <w:i w:val="false"/>
          <w:iCs w:val="false"/>
          <w:color w:val="1A1A1A"/>
          <w:sz w:val="20"/>
          <w:szCs w:val="20"/>
        </w:rPr>
        <w:t xml:space="preserve">Setiap transfer informasi Rahasia atau Terbatas wajib didahului dengan penilaian singkat untuk memastikan transfer dilakukan secara aman, sah, dan tepat sasaran. Prosedur ini wajib dilakukan sebelum menggunakan prosedur P2 hingga P8.</w:t>
      </w:r>
    </w:p>
    <w:p>
      <w:pPr>
        <w:spacing w:after="60"/>
      </w:pPr>
      <w:r>
        <w:t xml:space="preserve"/>
      </w:r>
    </w:p>
    <w:p>
      <w:pPr>
        <w:pStyle w:val="Heading2"/>
        <w:spacing w:before="220" w:after="100"/>
      </w:pPr>
      <w:r>
        <w:rPr>
          <w:rFonts w:ascii="Arial" w:cs="Arial" w:eastAsia="Arial" w:hAnsi="Arial"/>
          <w:b/>
          <w:bCs/>
          <w:i w:val="false"/>
          <w:iCs w:val="false"/>
          <w:color w:val="2D7A4F"/>
          <w:sz w:val="26"/>
          <w:szCs w:val="26"/>
        </w:rPr>
        <w:t xml:space="preserve">3.2 Prosedur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60"/>
        <w:gridCol w:w="1500"/>
        <w:gridCol w:w="1800"/>
      </w:tblGrid>
      <w:tr>
        <w:tc>
          <w:tcPr>
            <w:tcW w:type="dxa" w:w="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No.</w:t>
            </w:r>
          </w:p>
        </w:tc>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Langkah</w:t>
            </w:r>
          </w:p>
        </w:tc>
        <w:tc>
          <w:tcPr>
            <w:tcW w:type="dxa" w:w="32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Deskripsi / Instruksi Kerja</w:t>
            </w:r>
          </w:p>
        </w:tc>
        <w:tc>
          <w:tcPr>
            <w:tcW w:type="dxa" w:w="15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PIC</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Output / Bukti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1.1</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Identifikasi Klasifikasi</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Tentukan klasifikasi informasi yang akan ditransfer (Publik / Internal / Rahasia / Terbatas). Gunakan label atau metadata dokumen.</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Klasifikasi teridentifikasi</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1.2</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Verifikasi Otorisasi</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Pastikan pengirim memiliki hak untuk membagikan informasi tersebut. Periksa: apakah ada persetujuan pemilik data? Apakah ada kebutuhan bisnis yang sah (need-to-know)?</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Konfirmasi otorisasi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1.3</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Verifikasi Identitas Penerima</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Konfirmasi identitas dan alamat/lokasi penerima. Untuk eksternal: cek apakah NDA aktif. Untuk email: double-check alamat email penerima karakter per karakter.</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Identitas penerima terverifikasi</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1.4</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Pilih Saluran Transfer</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Berdasarkan klasifikasi dan tujuan, pilih saluran yang sesuai dari tabel di Lampiran A kebijakan. Contoh: Rahasia → SFTP + enkripsi; Internal → email/Teams.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Saluran transfer dipilih</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1.5</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Siapkan Kontrol Keamanan</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Siapkan enkripsi (pilih algoritma sesuai klausul 8.1 kebijakan), password terpisah, atau kontrol lain sesuai persyaratan klasifikasi.</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Enkripsi &amp; kontrol siap</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1.6</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Dapatkan Persetujuan (jika perlu)</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Untuk transfer Rahasia ke pihak eksternal: dapatkan persetujuan IT Manager. Untuk Terbatas: dapatkan persetujuan CISO. Dokumentasikan persetujuan (email/tiket).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 + Approver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Persetujuan terdokumentasi</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4. P2 — TRANSFER EMAIL AMAN</w:t>
      </w:r>
    </w:p>
    <w:p>
      <w:pPr>
        <w:pStyle w:val="Heading2"/>
        <w:spacing w:before="220" w:after="100"/>
      </w:pPr>
      <w:r>
        <w:rPr>
          <w:rFonts w:ascii="Arial" w:cs="Arial" w:eastAsia="Arial" w:hAnsi="Arial"/>
          <w:b/>
          <w:bCs/>
          <w:i w:val="false"/>
          <w:iCs w:val="false"/>
          <w:color w:val="2D7A4F"/>
          <w:sz w:val="26"/>
          <w:szCs w:val="26"/>
        </w:rPr>
        <w:t xml:space="preserve">4.1 Prosedur Transfer Email Internal (Informasi Internal / Rahasia antar karyawan ELI)</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60"/>
        <w:gridCol w:w="1500"/>
        <w:gridCol w:w="1800"/>
      </w:tblGrid>
      <w:tr>
        <w:tc>
          <w:tcPr>
            <w:tcW w:type="dxa" w:w="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No.</w:t>
            </w:r>
          </w:p>
        </w:tc>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Langkah</w:t>
            </w:r>
          </w:p>
        </w:tc>
        <w:tc>
          <w:tcPr>
            <w:tcW w:type="dxa" w:w="32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Deskripsi / Instruksi Kerja</w:t>
            </w:r>
          </w:p>
        </w:tc>
        <w:tc>
          <w:tcPr>
            <w:tcW w:type="dxa" w:w="15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PIC</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Output / Bukti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2.1</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Buat email di klien korporat</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Gunakan hanya akun @equitylife.co.id. Jangan gunakan email pribadi.</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Email draf dari akun korporat</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2.2</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Verifikasi penerima</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Double-check setiap alamat email penerima. Untuk mailing list: pastikan semua anggota berhak menerima informasi tersebut.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Penerima terverifikasi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2.3</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Siapkan attachment</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File yang mengandung data Rahasia wajib dikompresi dengan enkripsi AES-256 (gunakan 7-Zip atau WinRAR dengan AES-256). Buat password kuat (min. 12 karakter: huruf besar+kecil+angka+simbol).</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File terenkripsi AES-256</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2.4</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Kirim email utama</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Kirim email beserta attachment terenkripsi. JANGAN cantumkan password dalam email ini.</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Email terkirim tanpa password</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2.5</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Kirim password via saluran terpisah</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Kirim password melalui SMS, telepon, atau aplikasi pesan lain — TIDAK via email yang sama. Konfirmasi bahwa penerima telah menerima password.</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Password tersampaikan via saluran lain</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2.6</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Konfirmasi penerimaan</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Minta penerima mengkonfirmasi bahwa file diterima dan dapat dibuka dengan benar.</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Konfirmasi penerimaan</w:t>
            </w:r>
          </w:p>
        </w:tc>
      </w:tr>
    </w:tbl>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4.2 Prosedur Transfer Email Eksternal (kepada pihak di luar ELI)</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DECEA" w:val="clear"/>
            <w:tcMar>
              <w:top w:type="dxa" w:w="100"/>
              <w:left w:type="dxa" w:w="200"/>
              <w:bottom w:type="dxa" w:w="100"/>
              <w:right w:type="dxa" w:w="200"/>
            </w:tcMar>
          </w:tcPr>
          <w:p>
            <w:pPr>
              <w:spacing w:before="0" w:after="80"/>
              <w:jc w:val="left"/>
            </w:pPr>
            <w:r>
              <w:rPr>
                <w:rFonts w:ascii="Arial" w:cs="Arial" w:eastAsia="Arial" w:hAnsi="Arial"/>
                <w:b/>
                <w:bCs/>
                <w:i w:val="false"/>
                <w:iCs w:val="false"/>
                <w:color w:val="C0392B"/>
                <w:sz w:val="19"/>
                <w:szCs w:val="19"/>
              </w:rPr>
              <w:t xml:space="preserve">PERIKSA DULU: Apakah NDA/DTA sudah aktif? Apakah sudah ada persetujuan IT Manager (Rahasia) atau CISO (Terbatas)? Jika belum, HENTIKAN dan selesaikan prasyarat terlebih dahulu.</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60"/>
        <w:gridCol w:w="1500"/>
        <w:gridCol w:w="1800"/>
      </w:tblGrid>
      <w:tr>
        <w:tc>
          <w:tcPr>
            <w:tcW w:type="dxa" w:w="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No.</w:t>
            </w:r>
          </w:p>
        </w:tc>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Langkah</w:t>
            </w:r>
          </w:p>
        </w:tc>
        <w:tc>
          <w:tcPr>
            <w:tcW w:type="dxa" w:w="32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Deskripsi / Instruksi Kerja</w:t>
            </w:r>
          </w:p>
        </w:tc>
        <w:tc>
          <w:tcPr>
            <w:tcW w:type="dxa" w:w="15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PIC</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Output / Bukti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2E.1</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Lakukan P1 (Pre-Transfer Assessment)</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Wajib diselesaikan sebelum melanjutkan.</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Pre-assessment selesai</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2E.2</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Dapatkan persetujuan</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Email konfirmasi persetujuan dari IT Manager (Rahasia) atau CISO (Terbatas) harus ada di tangan sebelum mengirim.</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 + Approver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Persetujuan via email/tiket</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2E.3</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Enkripsi file</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Kompresi dengan AES-256 (7-Zip). Simpan password di password manager atau catat untuk disampaikan terpisah.</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File terenkripsi</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2E.4</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Kirim email</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Gunakan akun korporat. Subject email wajib mencantumkan referensi (misal: nomor tiket atau nomor kontrak). Attachment: file terenkripsi.</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Email terkirim</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2E.5</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Kirim password via jalur terpisah</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Hubungi penerima via telepon atau saluran terpisah yang telah disepakati. JANGAN kirim password via email.</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Password tersampaikan terpisah</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2E.6</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Catat transfer dalam log</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Isi log transfer (format di Lampiran B): tanggal, penerima, konten/deskripsi file, persetujuan, saluran. Simpan log di lokasi yang ditentukan IT Security.</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Log transfer diperbarui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2E.7</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Konfirmasi penerimaan</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Minta penerima mengkonfirmasi penerimaan dan bahwa file dapat dibuka. Simpan konfirmasi tersebut.</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Konfirmasi terdokumentasi</w:t>
            </w:r>
          </w:p>
        </w:tc>
      </w:tr>
    </w:tbl>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4.3 Penanganan Misdirected Email (Email Salah Kirim)</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60"/>
        <w:gridCol w:w="1500"/>
        <w:gridCol w:w="1800"/>
      </w:tblGrid>
      <w:tr>
        <w:tc>
          <w:tcPr>
            <w:tcW w:type="dxa" w:w="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No.</w:t>
            </w:r>
          </w:p>
        </w:tc>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Langkah</w:t>
            </w:r>
          </w:p>
        </w:tc>
        <w:tc>
          <w:tcPr>
            <w:tcW w:type="dxa" w:w="32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Deskripsi / Instruksi Kerja</w:t>
            </w:r>
          </w:p>
        </w:tc>
        <w:tc>
          <w:tcPr>
            <w:tcW w:type="dxa" w:w="15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PIC</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Output / Bukti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2M.1</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Sadari &amp; Laporkan</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Segera setelah menyadari email terkirim ke alamat yang salah, laporkan ke IT Security / SOC dalam 30 menit.</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Laporan ke SOC</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2M.2</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Recall email (jika memungkinkan)</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Gunakan fitur 'Recall This Message' di Outlook jika email belum dibaca. Catat apakah recall berhasil.</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Recall attempt terdokumentasi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2M.3</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Hubungi penerima</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Hubungi penerima yang salah via telepon untuk meminta agar email dihapus dan tidak diteruskan. Minta konfirmasi penghapusan.</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 + IT Security</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Konfirmasi penghapusan dari penerima</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2M.4</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Eskalasi ke CISO</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IT Security mengeskalasi insiden kepada CISO. Jika data pribadi terdampak, DPO dilibatkan.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Security / CISO</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Insiden P-tiket terbuka</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2M.5</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Tindak lanjut sesuai P9</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Lanjutkan ke prosedur P9 (Penanganan Insiden Transfer Informasi).</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CISO + DPO</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Insiden tertangani</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5. P3 — TRANSFER VIA SFTP / FTPS</w:t>
      </w:r>
    </w:p>
    <w:p>
      <w:pPr>
        <w:pStyle w:val="Heading2"/>
        <w:spacing w:before="220" w:after="100"/>
      </w:pPr>
      <w:r>
        <w:rPr>
          <w:rFonts w:ascii="Arial" w:cs="Arial" w:eastAsia="Arial" w:hAnsi="Arial"/>
          <w:b/>
          <w:bCs/>
          <w:i w:val="false"/>
          <w:iCs w:val="false"/>
          <w:color w:val="2D7A4F"/>
          <w:sz w:val="26"/>
          <w:szCs w:val="26"/>
        </w:rPr>
        <w:t xml:space="preserve">5.1 Prosedur Setup Akun SFTP untuk Pihak Eksternal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60"/>
        <w:gridCol w:w="1500"/>
        <w:gridCol w:w="1800"/>
      </w:tblGrid>
      <w:tr>
        <w:tc>
          <w:tcPr>
            <w:tcW w:type="dxa" w:w="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No.</w:t>
            </w:r>
          </w:p>
        </w:tc>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Langkah</w:t>
            </w:r>
          </w:p>
        </w:tc>
        <w:tc>
          <w:tcPr>
            <w:tcW w:type="dxa" w:w="32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Deskripsi / Instruksi Kerja</w:t>
            </w:r>
          </w:p>
        </w:tc>
        <w:tc>
          <w:tcPr>
            <w:tcW w:type="dxa" w:w="15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PIC</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Output / Bukti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3S.1</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Terima permintaan akses SFTP</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PIC menerima permintaan resmi (email + tiket ITSM) dari vendor/mitra untuk akun SFTP.</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Manager</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Permintaan tercatat di ITSM</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3S.2</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Verifikasi NDA &amp; kontrak</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Pastikan NDA aktif. Verifikasi ruang lingkup akses yang diperlukan (direktori, jenis file, durasi).</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Manager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Verifikasi NDA terdokumentasi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3S.3</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Buat akun SFTP</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IT Operations membuat akun SFTP dedicated untuk vendor: username unik, SSH key pair (tidak password), akses terbatas pada direktori yang diperlukan saja.</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Operations</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Akun SFTP aktif; SSH key dikirimkan ke vendor</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3S.4</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Konfigurasi direktori</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Set permission: vendor hanya bisa upload/download di direktori mereka sendiri. Chroot jail diterapkan. Direktori internal tidak boleh terlihat.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Operations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Konfigurasi direktori selesai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3S.5</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Aktifkan logging</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Pastikan logging aktif: nama file, ukuran, timestamp, user, IP sumber. Log dikirim ke SIEM.</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Operations</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Logging aktif &amp; terverifikasi</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3S.6</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Komunikasikan detail koneksi</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IT Operations mengirimkan detail koneksi SFTP (hostname, port, username, public key fingerprint) kepada vendor via email korporat.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Operations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Detail koneksi tersampaikan</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3S.7</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Set masa berlaku akun</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Tetapkan tanggal kadaluarsa akun SFTP sesuai durasi proyek/kontrak. Catat di kalender reminder untuk review dan pencabutan.</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Operations</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Expiry date dikonfigurasi</w:t>
            </w:r>
          </w:p>
        </w:tc>
      </w:tr>
    </w:tbl>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5.2 Prosedur Transfer File via SFTP</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60"/>
        <w:gridCol w:w="1500"/>
        <w:gridCol w:w="1800"/>
      </w:tblGrid>
      <w:tr>
        <w:tc>
          <w:tcPr>
            <w:tcW w:type="dxa" w:w="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No.</w:t>
            </w:r>
          </w:p>
        </w:tc>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Langkah</w:t>
            </w:r>
          </w:p>
        </w:tc>
        <w:tc>
          <w:tcPr>
            <w:tcW w:type="dxa" w:w="32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Deskripsi / Instruksi Kerja</w:t>
            </w:r>
          </w:p>
        </w:tc>
        <w:tc>
          <w:tcPr>
            <w:tcW w:type="dxa" w:w="15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PIC</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Output / Bukti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3T.1</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Lakukan P1</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Selesaikan pre-transfer assessment sebelum melanjutkan.</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Pre-assessment selesai</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3T.2</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Enkripsi file (jika Rahasia/Terbatas)</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Untuk informasi Rahasia/Terbatas: enkripsi file dengan AES-256 sebelum diunggah ke SFTP. Untuk Internal: opsional.</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File terenkripsi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3T.3</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Hitung checksum</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Hitung SHA-256 checksum dari file yang akan diunggah. Simpan nilai checksum.</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Nilai SHA-256 tercatat</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3T.4</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Upload ke SFTP</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Koneksikan ke server SFTP menggunakan klien yang disetujui (FileZilla, WinSCP, atau sftp CLI). Upload file ke direktori yang ditentukan.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File terunggah</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3T.5</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Verifikasi checksum di sisi penerima</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Kirimkan nilai SHA-256 kepada penerima (via email terpisah atau saluran lain). Minta penerima memverifikasi checksum setelah download.</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 + Penerima</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Verifikasi checksum dikonfirmasi</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3T.6</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Kirimkan password (jika file terenkripsi)</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Sampaikan password enkripsi melalui saluran terpisah (telepon/SMS). JANGAN kirim via SFTP atau email bersamaan.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Password tersampaikan terpisah</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3T.7</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Catat log transfer</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Update log transfer: tanggal, nama file, checksum, penerima, persetujuan, metode.</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Log transfer diperbarui</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3T.8</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Scan file yang diterima (sisi ELI)</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File yang diunggah oleh pihak eksternal ke SFTP ELI wajib discanning antivirus/anti-malware sebelum diproses lebih lanjut.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Security / IT Ops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Laporan scan bersih</w:t>
            </w:r>
          </w:p>
        </w:tc>
      </w:tr>
    </w:tbl>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5.3 Prosedur Pencabutan Akun SFTP</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60"/>
        <w:gridCol w:w="1500"/>
        <w:gridCol w:w="1800"/>
      </w:tblGrid>
      <w:tr>
        <w:tc>
          <w:tcPr>
            <w:tcW w:type="dxa" w:w="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No.</w:t>
            </w:r>
          </w:p>
        </w:tc>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Langkah</w:t>
            </w:r>
          </w:p>
        </w:tc>
        <w:tc>
          <w:tcPr>
            <w:tcW w:type="dxa" w:w="32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Deskripsi / Instruksi Kerja</w:t>
            </w:r>
          </w:p>
        </w:tc>
        <w:tc>
          <w:tcPr>
            <w:tcW w:type="dxa" w:w="15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PIC</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Output / Bukti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3R.1</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Identifikasi akun untuk dicabut</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IT Manager menerima notifikasi berakhirnya kontrak/proyek atau perintah pencabutan dari CISO/Procurement.</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Manager</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Notifikasi pencabutan</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3R.2</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Disable akun</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IT Operations mendisable akun SFTP segera (bukan dihapus, agar log tetap tersedia).</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Operations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Akun disabled</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3R.3</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Arsipkan direktori transfer</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Direktori transfer vendor diarsipkan dan dikunci dari akses lebih lanjut.</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Operations</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Direktori diarsipkan</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3R.4</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Konfirmasi ke vendor</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IT Manager menginformasikan vendor bahwa akses SFTP telah dicabut.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Manager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Email konfirmasi ke vendor</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3R.5</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Hapus akun setelah 90 hari</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Setelah 90 hari dan tidak ada kebutuhan forensik, IT Operations menghapus akun SFTP secara permanen.</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Operations</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Akun dihapus</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6. P4 — TRANSFER VIA CLOUD STORAGE RESMI</w:t>
      </w:r>
    </w:p>
    <w:p>
      <w:pPr>
        <w:pStyle w:val="Heading2"/>
        <w:spacing w:before="220" w:after="100"/>
      </w:pPr>
      <w:r>
        <w:rPr>
          <w:rFonts w:ascii="Arial" w:cs="Arial" w:eastAsia="Arial" w:hAnsi="Arial"/>
          <w:b/>
          <w:bCs/>
          <w:i w:val="false"/>
          <w:iCs w:val="false"/>
          <w:color w:val="2D7A4F"/>
          <w:sz w:val="26"/>
          <w:szCs w:val="26"/>
        </w:rPr>
        <w:t xml:space="preserve">6.1 Prosedur Berbagi File via SharePoint Online / OneDrive for Business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60"/>
        <w:gridCol w:w="1500"/>
        <w:gridCol w:w="1800"/>
      </w:tblGrid>
      <w:tr>
        <w:tc>
          <w:tcPr>
            <w:tcW w:type="dxa" w:w="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No.</w:t>
            </w:r>
          </w:p>
        </w:tc>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Langkah</w:t>
            </w:r>
          </w:p>
        </w:tc>
        <w:tc>
          <w:tcPr>
            <w:tcW w:type="dxa" w:w="32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Deskripsi / Instruksi Kerja</w:t>
            </w:r>
          </w:p>
        </w:tc>
        <w:tc>
          <w:tcPr>
            <w:tcW w:type="dxa" w:w="15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PIC</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Output / Bukti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4.1</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Lakukan P1</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Pre-transfer assessment wajib diselesaikan.</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Pre-assessment selesai</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4.2</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Upload ke SharePoint/OneDrive ELI</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Pastikan file diunggah ke library/folder yang tepat di SharePoint ELI (bukan SharePoint pribadi atau tenant lain).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File terunggah ke SharePoint ELI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4.3</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Set permission sharing</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Klik Share → pilih specific people only (JANGAN 'Anyone with link'). Masukkan email korporat penerima. Set permission: View Only untuk Rahasia; Edit hanya jika kolaborasi diperlukan.</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Permission dikonfigurasi</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4.4</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Set expiry date sharing link</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Selalu set tanggal kadaluarsa link (maksimal sesuai kebutuhan; default 30 hari). Untuk vendor eksternal: maksimal sesuai durasi kontrak.</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Expiry date diset</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4.5</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Kirim undangan sharing</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Gunakan fitur 'Send Link' yang ada di SharePoint — bukan menyalin link secara manual. Ini memastikan audit trail tersimpan.</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Undangan sharing terkirim</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4.6</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Catat log sharing</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Untuk file Rahasia: catat di log transfer (Lampiran B): nama file, penerima, tanggal share, expiry, persetujuan.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Log diperbarui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4.7</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Review dan cabut setelah selesai</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Setelah kebutuhan akses selesai atau link expired, konfirmasi pencabutan akses di Permission panel SharePoint.</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 / IT Manager</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Akses dicabut</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7. P5 — TRANSFER FISIK (DOKUMEN &amp; MEDIA)</w:t>
      </w:r>
    </w:p>
    <w:p>
      <w:pPr>
        <w:pStyle w:val="Heading2"/>
        <w:spacing w:before="220" w:after="100"/>
      </w:pPr>
      <w:r>
        <w:rPr>
          <w:rFonts w:ascii="Arial" w:cs="Arial" w:eastAsia="Arial" w:hAnsi="Arial"/>
          <w:b/>
          <w:bCs/>
          <w:i w:val="false"/>
          <w:iCs w:val="false"/>
          <w:color w:val="2D7A4F"/>
          <w:sz w:val="26"/>
          <w:szCs w:val="26"/>
        </w:rPr>
        <w:t xml:space="preserve">7.1 Prosedur Transfer Dokumen Fisik Rahasia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60"/>
        <w:gridCol w:w="1500"/>
        <w:gridCol w:w="1800"/>
      </w:tblGrid>
      <w:tr>
        <w:tc>
          <w:tcPr>
            <w:tcW w:type="dxa" w:w="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No.</w:t>
            </w:r>
          </w:p>
        </w:tc>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Langkah</w:t>
            </w:r>
          </w:p>
        </w:tc>
        <w:tc>
          <w:tcPr>
            <w:tcW w:type="dxa" w:w="32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Deskripsi / Instruksi Kerja</w:t>
            </w:r>
          </w:p>
        </w:tc>
        <w:tc>
          <w:tcPr>
            <w:tcW w:type="dxa" w:w="15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PIC</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Output / Bukti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5D.1</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Lakukan P1</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Pre-transfer assessment sebelum transfer.</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Pre-assessment selesai</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5D.2</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Label dan watermark dokumen</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Tambahkan label klasifikasi pada setiap halaman (header/footer). Untuk Terbatas: watermark 'TERBATAS — PT EQUITY LIFE INDONESIA'.</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Dokumen berlabel</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5D.3</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Catat nomor kendali dokumen</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Daftarkan dokumen di log dokumen resmi (nomor, judul, penerima, tanggal, approver).</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 + IT Manager</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Nomor kendali tercatat</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5D.4</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Kemas dokumen</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Masukkan ke dalam amplop dalam yang ditutup &amp; disegel. Masukkan ke amplop luar polos (tanpa identifikasi konten di luar). Untuk Terbatas: double seal + paraf pada segel.</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Dokumen terkemas</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5D.5</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Pilih kurir</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Rahasia: jasa kurir resmi dengan layanan recorded delivery. Terbatas: kurir internal ELI atau kurir kontrak khusus.</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 / IT Manager</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Kurir dipilih &amp; dikonfirmasi</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5D.6</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Proses pengiriman</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Serahkan ke kurir. Dapatkan nomor resi/tracking. Catat di log pengiriman.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Nomor resi tercatat</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5D.7</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Verifikasi penerimaan</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Minta tanda terima (signed proof of delivery) dari kurir. Konfirmasi kepada penerima bahwa paket diterima dalam kondisi segel utuh.</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Proof of delivery diterima</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5D.8</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Arsipkan log pengiriman</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Simpan nomor resi, bukti pengiriman, dan konfirmasi penerimaan dalam log dokumen.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Pengirim</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Log pengiriman lengkap</w:t>
            </w:r>
          </w:p>
        </w:tc>
      </w:tr>
    </w:tbl>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7.2 Prosedur Penggunaan Media Penyimpanan Portabel (USB/HDD)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60"/>
        <w:gridCol w:w="1500"/>
        <w:gridCol w:w="1800"/>
      </w:tblGrid>
      <w:tr>
        <w:tc>
          <w:tcPr>
            <w:tcW w:type="dxa" w:w="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No.</w:t>
            </w:r>
          </w:p>
        </w:tc>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Langkah</w:t>
            </w:r>
          </w:p>
        </w:tc>
        <w:tc>
          <w:tcPr>
            <w:tcW w:type="dxa" w:w="32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Deskripsi / Instruksi Kerja</w:t>
            </w:r>
          </w:p>
        </w:tc>
        <w:tc>
          <w:tcPr>
            <w:tcW w:type="dxa" w:w="15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PIC</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Output / Bukti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5M.1</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Permintaan media</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Ajukan permintaan media ke IT Operations via tiket ITSM. Cantumkan: tujuan penggunaan, data yang akan disimpan, durasi, penerima.</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Pemohon</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Tiket permintaan media</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5M.2</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IT: siapkan media</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IT Operations menyiapkan media yang telah dienkripsi (AES-256 hardware encryption). Catat media ID, user peminjam, tanggal.</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Operations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Media dicek-out ke user</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5M.3</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Salin data ke media</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Salin hanya data yang diperlukan (minimal data — principle of least privilege). Verifikasi integritas data setelah salin.</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User</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Data tersalin &amp; terverifikasi</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5M.4</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Enkripsi tambahan (jika Rahasia/Terbatas)</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Selain hardware encryption media, enkripsi tambahan pada file individual dengan AES-256 direkomendasikan untuk data Rahasia.</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User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Enkripsi berlapis</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5M.5</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Transfer media ke penerima</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Jangan tinggalkan media tanpa pengawasan. Serahkan langsung (hand delivery) atau gunakan kurir sesuai P5D. Informasikan penerima tentang cara membuka enkripsi.</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User</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Media diterima penerima</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5M.6</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Konfirmasi penerimaan &amp; pengembalian</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Minta konfirmasi penerimaan dari penerima. Setelah selesai digunakan, media dikembalikan ke IT Operations.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User + IT Ops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Media dikembalikan</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5M.7</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Sanitasi media setelah digunakan</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IT Operations melakukan secure wipe (DOD 5220.22-M minimum) pada media sebelum digunakan ulang. Jika media rusak atau tidak dapat di-wipe: degaussing atau destruksi fisik.</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Operations</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Media tersanitasi / dibuang</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5M.8</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Penanganan kehilangan media</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Jika media hilang/dicuri: laporkan ke IT Security dalam 1 jam. Lanjutkan ke P9 (Penanganan Insiden).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Pengguna media</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Laporan insiden terbuka</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8. P6 — TRANSFER API / INTEGRASI SISTEM</w:t>
      </w:r>
    </w:p>
    <w:p>
      <w:pPr>
        <w:pStyle w:val="Heading2"/>
        <w:spacing w:before="220" w:after="100"/>
      </w:pPr>
      <w:r>
        <w:rPr>
          <w:rFonts w:ascii="Arial" w:cs="Arial" w:eastAsia="Arial" w:hAnsi="Arial"/>
          <w:b/>
          <w:bCs/>
          <w:i w:val="false"/>
          <w:iCs w:val="false"/>
          <w:color w:val="2D7A4F"/>
          <w:sz w:val="26"/>
          <w:szCs w:val="26"/>
        </w:rPr>
        <w:t xml:space="preserve">8.1 Prosedur Registrasi dan Konfigurasi API Baru</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60"/>
        <w:gridCol w:w="1500"/>
        <w:gridCol w:w="1800"/>
      </w:tblGrid>
      <w:tr>
        <w:tc>
          <w:tcPr>
            <w:tcW w:type="dxa" w:w="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No.</w:t>
            </w:r>
          </w:p>
        </w:tc>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Langkah</w:t>
            </w:r>
          </w:p>
        </w:tc>
        <w:tc>
          <w:tcPr>
            <w:tcW w:type="dxa" w:w="32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Deskripsi / Instruksi Kerja</w:t>
            </w:r>
          </w:p>
        </w:tc>
        <w:tc>
          <w:tcPr>
            <w:tcW w:type="dxa" w:w="15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PIC</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Output / Bukti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6R.1</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Pengajuan kebutuhan API</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Tim bisnis/IT Developer mengajukan kebutuhan integrasi API via tiket ITSM. Sertakan: tujuan, data yang akan dipertukarkan, identitas sistem mitra.</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Developer / IT Manager</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Tiket kebutuhan API</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6R.2</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Security assessment API</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IT Security melakukan security assessment: review arsitektur, jenis data, klasifikasi, dan risiko. Tentukan persyaratan autentikasi dan enkripsi.</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Security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Laporan security assessment API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6R.3</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Review dan tanda tangan perjanjian</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Pastikan kontrak/MOU dengan mitra mencantumkan klausul keamanan API: enkripsi TLS 1.2+, rate limiting, logging, dan audit hak.</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Manager + Legal</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Kontrak dengan klausul keamanan</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6R.4</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Konfigurasi API gateway</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Daftarkan API endpoint di API gateway ELI. Konfigurasi: autentikasi (OAuth 2.0/API key/mTLS), rate limiting, IP whitelist, logging.</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Operations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API terdaftar di gateway</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6R.5</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Enkripsi field sensitif</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Untuk API yang mengekspos data nasabah (NIK, nomor polis, dll.): implementasikan field-level encryption menggunakan kunci yang dikelola KMS.</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Security + Developer</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Enkripsi field dikonfirmasi</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6R.6</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Security testing</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Lakukan SAST (Static Application Security Testing) dan DAST (Dynamic Application Security Testing) pada endpoint baru sebelum go-live.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Security / QA</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Laporan SAST/DAST; tidak ada Critical/High</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6R.7</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Go-live dan monitoring</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Aktivasi API setelah security testing passed. Aktifkan monitoring dan alert (respons time anomali, error rate spike, akses dari IP tidak dikenal).</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Operations</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API aktif; monitoring berjalan</w:t>
            </w:r>
          </w:p>
        </w:tc>
      </w:tr>
    </w:tbl>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8.2 Prosedur Transfer Data via API (Operasional)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60"/>
        <w:gridCol w:w="1500"/>
        <w:gridCol w:w="1800"/>
      </w:tblGrid>
      <w:tr>
        <w:tc>
          <w:tcPr>
            <w:tcW w:type="dxa" w:w="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No.</w:t>
            </w:r>
          </w:p>
        </w:tc>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Langkah</w:t>
            </w:r>
          </w:p>
        </w:tc>
        <w:tc>
          <w:tcPr>
            <w:tcW w:type="dxa" w:w="32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Deskripsi / Instruksi Kerja</w:t>
            </w:r>
          </w:p>
        </w:tc>
        <w:tc>
          <w:tcPr>
            <w:tcW w:type="dxa" w:w="15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PIC</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Output / Bukti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6T.1</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Verifikasi koneksi</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Pastikan endpoint menggunakan HTTPS dengan sertifikat valid. Verifikasi fingerprint sertifikat jika menggunakan mTLS.</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Sistem/Developer</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Koneksi terverifikasi</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6T.2</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Autentikasi</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Gunakan token OAuth 2.0 yang masih valid, atau API key yang sesuai. Jangan hardcode credential dalam kode; gunakan secret management (vault).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Sistem/Developer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Autentikasi berhasil</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6T.3</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Kirim request</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Kirim request dengan payload yang di-sign atau terenkripsi sesuai ketentuan API. Sertakan correlation ID untuk traceability.</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Sistem</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Request terkirim</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6T.4</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Verifikasi respons</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Periksa response code dan integritas data yang diterima. Untuk transfer batch: bandingkan record count dan checksum.</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Sistem/Developer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Respons terverifikasi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6T.5</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Log transaksi</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Pastikan setiap transaksi API tercatat di log gateway: timestamp, endpoint, user/API key, IP, payload size, response code.</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API Gateway (otomatis)</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Log tercipta secara otomatis</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6T.6</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Tangani error</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Jika transfer gagal atau data tidak konsisten: jangan retry tanpa investigasi. Buka tiket ITSM dan laporkan ke IT Security jika ada indikasi manipulasi data.</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Developer / IT Security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Tiket jika ada error</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9. P7 — TRANSFER KEPADA PIHAK KETIGA</w:t>
      </w:r>
    </w:p>
    <w:p>
      <w:pPr>
        <w:pStyle w:val="Heading2"/>
        <w:spacing w:before="220" w:after="100"/>
      </w:pPr>
      <w:r>
        <w:rPr>
          <w:rFonts w:ascii="Arial" w:cs="Arial" w:eastAsia="Arial" w:hAnsi="Arial"/>
          <w:b/>
          <w:bCs/>
          <w:i w:val="false"/>
          <w:iCs w:val="false"/>
          <w:color w:val="2D7A4F"/>
          <w:sz w:val="26"/>
          <w:szCs w:val="26"/>
        </w:rPr>
        <w:t xml:space="preserve">9.1 Prosedur Onboarding Vendor untuk Transfer Data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60"/>
        <w:gridCol w:w="1500"/>
        <w:gridCol w:w="1800"/>
      </w:tblGrid>
      <w:tr>
        <w:tc>
          <w:tcPr>
            <w:tcW w:type="dxa" w:w="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No.</w:t>
            </w:r>
          </w:p>
        </w:tc>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Langkah</w:t>
            </w:r>
          </w:p>
        </w:tc>
        <w:tc>
          <w:tcPr>
            <w:tcW w:type="dxa" w:w="32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Deskripsi / Instruksi Kerja</w:t>
            </w:r>
          </w:p>
        </w:tc>
        <w:tc>
          <w:tcPr>
            <w:tcW w:type="dxa" w:w="15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PIC</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Output / Bukti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7O.1</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Identifikasi kebutuhan transfer</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IT Manager atau Procurement mengidentifikasi jenis data yang perlu dibagikan ke vendor dan lamanya kebutuhan.</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Manager / Procurement</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Kebutuhan transfer terdefinisi</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7O.2</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Vendor Security Assessment</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IT Security melakukan Vendor Security Assessment: kuesioner keamanan, review sertifikasi (ISO 27001, SOC 2), dan penilaian risiko.</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Security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Laporan VSA</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7O.3</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Tanda tangan NDA</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Legal/Procurement memastikan NDA ditandatangani dan aktif sebelum transfer pertama.</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Legal / Procurement</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NDA aktif &amp; diarsipkan</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7O.4</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Tanda tangan DTA (jika data pribadi)</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DPO memastikan Data Transfer Agreement ditandatangani, mencakup: tujuan, batas retensi, hak audit, kewajiban keamanan, mekanisme penghapusan.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DPO + Legal</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DTA aktif &amp; diarsipkan</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7O.5</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Briefing keamanan vendor</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IT Security memberikan briefing kepada PIC vendor mengenai: saluran yang diizinkan, enkripsi yang wajib, pelaporan insiden.</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Security</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Konfirmasi briefing dari vendor</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7O.6</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Setup akses &amp; saluran</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Buat akun SFTP, SharePoint folder, atau mekanisme transfer sesuai prosedur P3 atau P4.</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Operations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Akses vendor aktif</w:t>
            </w:r>
          </w:p>
        </w:tc>
      </w:tr>
    </w:tbl>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9.2 Prosedur Transfer Data ke Regulator (OJK, BSSN, dll.)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60"/>
        <w:gridCol w:w="1500"/>
        <w:gridCol w:w="1800"/>
      </w:tblGrid>
      <w:tr>
        <w:tc>
          <w:tcPr>
            <w:tcW w:type="dxa" w:w="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No.</w:t>
            </w:r>
          </w:p>
        </w:tc>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Langkah</w:t>
            </w:r>
          </w:p>
        </w:tc>
        <w:tc>
          <w:tcPr>
            <w:tcW w:type="dxa" w:w="32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Deskripsi / Instruksi Kerja</w:t>
            </w:r>
          </w:p>
        </w:tc>
        <w:tc>
          <w:tcPr>
            <w:tcW w:type="dxa" w:w="15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PIC</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Output / Bukti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7R.1</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Terima permintaan resmi</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Permohonan data dari regulator harus dalam bentuk surat resmi bernomor surat. Verifikasi keaslian surat.</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Manager / Sekretariat</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Surat permintaan tercatat</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7R.2</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Laporkan ke CISO &amp; Direksi</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CISO dan Direksi terkait diberitahu sebelum data apa pun disiapkan.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Manager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Notifikasi CISO &amp; Direksi terdokumentasi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7R.3</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Siapkan data</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IT Security menyiapkan data sesuai cakupan yang diminta. Tidak lebih dari yang diminta (data minimization). Buat inventaris data yang disiapkan.</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Security</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Inventaris data disiapkan</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7R.4</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Pilih metode transfer aman</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Gunakan email terenkripsi, SFTP, atau kurir resmi dengan dokumen segel. Jangan pernah mengirimkan data sensitif via saluran yang tidak aman meski diminta oleh regulator.</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Manager / CISO</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Metode transfer dikonfirmasi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7R.5</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Enkripsi data</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Enkripsi file dengan AES-256. Siapkan password untuk disampaikan terpisah kepada regulator via saluran yang disepakati.</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Security</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File terenkripsi</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7R.6</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Kirimkan data</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Transfer data menggunakan metode yang dipilih. Dapatkan konfirmasi penerimaan dari regulator.</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Manager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Konfirmasi penerimaan dari regulator</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7R.7</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Dokumentasikan seluruh proses</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Catat dalam log transfer regulasi: tanggal, nomor surat permintaan, jenis data, volume, metode, approver, konfirmasi penerimaan. Simpan 5 tahun.</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Manager + CISO</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Log transfer regulasi lengkap</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10. P8 — CROSS-BORDER DATA TRANSFER</w:t>
      </w:r>
    </w:p>
    <w:p>
      <w:pPr>
        <w:pStyle w:val="Heading2"/>
        <w:spacing w:before="220" w:after="100"/>
      </w:pPr>
      <w:r>
        <w:rPr>
          <w:rFonts w:ascii="Arial" w:cs="Arial" w:eastAsia="Arial" w:hAnsi="Arial"/>
          <w:b/>
          <w:bCs/>
          <w:i w:val="false"/>
          <w:iCs w:val="false"/>
          <w:color w:val="2D7A4F"/>
          <w:sz w:val="26"/>
          <w:szCs w:val="26"/>
        </w:rPr>
        <w:t xml:space="preserve">10.1 Alur Persetujuan Cross-Border Transfer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DECEA" w:val="clear"/>
            <w:tcMar>
              <w:top w:type="dxa" w:w="100"/>
              <w:left w:type="dxa" w:w="200"/>
              <w:bottom w:type="dxa" w:w="100"/>
              <w:right w:type="dxa" w:w="200"/>
            </w:tcMar>
          </w:tcPr>
          <w:p>
            <w:pPr>
              <w:spacing w:before="0" w:after="80"/>
              <w:jc w:val="left"/>
            </w:pPr>
            <w:r>
              <w:rPr>
                <w:rFonts w:ascii="Arial" w:cs="Arial" w:eastAsia="Arial" w:hAnsi="Arial"/>
                <w:b/>
                <w:bCs/>
                <w:i w:val="false"/>
                <w:iCs w:val="false"/>
                <w:color w:val="C0392B"/>
                <w:sz w:val="19"/>
                <w:szCs w:val="19"/>
              </w:rPr>
              <w:t xml:space="preserve">WAJIB: Transfer data pribadi WNI ke luar negeri memerlukan persetujuan DPO + CISO + konfirmasi kepatuhan UU PDP No.27/2022 Pasal 57. TANPA persetujuan ini, transfer DILARANG.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60"/>
        <w:gridCol w:w="1500"/>
        <w:gridCol w:w="1800"/>
      </w:tblGrid>
      <w:tr>
        <w:tc>
          <w:tcPr>
            <w:tcW w:type="dxa" w:w="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No.</w:t>
            </w:r>
          </w:p>
        </w:tc>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Langkah</w:t>
            </w:r>
          </w:p>
        </w:tc>
        <w:tc>
          <w:tcPr>
            <w:tcW w:type="dxa" w:w="32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Deskripsi / Instruksi Kerja</w:t>
            </w:r>
          </w:p>
        </w:tc>
        <w:tc>
          <w:tcPr>
            <w:tcW w:type="dxa" w:w="15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PIC</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Output / Bukti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8.1</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Identifikasi kebutuhan</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Tim bisnis/IT mengajukan kebutuhan cross-border transfer ke DPO via tiket ITSM. Sertakan: negara tujuan, jenis data, tujuan transfer, durasi, penerima.</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Pemohon</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Tiket permintaan cross-border</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8.2</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Transfer Impact Assessment (TIA)</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DPO menyusun Transfer Impact Assessment: penilaian risiko transfer ke negara tujuan, evaluasi regulasi perlindungan data di negara tujuan, identifikasi mekanisme pelindung yang diperlukan.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DPO</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Laporan TIA</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8.3</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Pilih mekanisme pelindung</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DPO menentukan mekanisme yang sesuai: Standard Contractual Clauses (SCC), Binding Corporate Rules (BCR), atau adequacy decision dari OJK. Siapkan dokumen yang diperlukan.</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DPO + Legal</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Mekanisme pelindung dipilih &amp; disiapkan</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8.4</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Persetujuan DPO + CISO</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DPO dan CISO menandatangani persetujuan transfer. Dokumentasi persetujuan wajib ada.</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DPO + CISO</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Persetujuan tertulis DPO + CISO</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8.5</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Notifikasi OJK (jika diperlukan)</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Jika transfer melibatkan data nasabah asuransi, DPO mengirimkan notifikasi kepada OJK sesuai ketentuan yang berlaku.</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DPO</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Bukti notifikasi OJK</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8.6</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Implementasi kontrol teknis</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IT Security memastikan enkripsi TLS 1.2+ end-to-end untuk transfer. Verifikasi bahwa penerima di luar negeri menggunakan enkripsi yang setara.</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Security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Kontrol teknis terverifikasi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8.7</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Transfer data</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Laksanakan transfer menggunakan saluran yang disetujui (SFTP/email terenkripsi/API dengan mTLS). Hitung checksum sebelum dan sesudah transfer.</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Security / Pengirim</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Transfer selesai; checksum diverifikasi</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8.8</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Dokumentasikan</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Log cross-border transfer: tanggal, negara tujuan, jenis data, volume, mekanisme pelindung, persetujuan, TIA reference, konfirmasi penerimaan. Simpan 5 tahun.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DPO + IT Manager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Log cross-border lengkap</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11. P9 — PENANGANAN INSIDEN TRANSFER INFORMASI</w:t>
      </w:r>
    </w:p>
    <w:p>
      <w:pPr>
        <w:pStyle w:val="Heading2"/>
        <w:spacing w:before="220" w:after="100"/>
      </w:pPr>
      <w:r>
        <w:rPr>
          <w:rFonts w:ascii="Arial" w:cs="Arial" w:eastAsia="Arial" w:hAnsi="Arial"/>
          <w:b/>
          <w:bCs/>
          <w:i w:val="false"/>
          <w:iCs w:val="false"/>
          <w:color w:val="2D7A4F"/>
          <w:sz w:val="26"/>
          <w:szCs w:val="26"/>
        </w:rPr>
        <w:t xml:space="preserve">11.1 Klasifikasi Insiden Transfer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1400"/>
        <w:gridCol w:w="3260"/>
      </w:tblGrid>
      <w:tr>
        <w:tc>
          <w:tcPr>
            <w:tcW w:type="dxa" w:w="2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Tipe Insiden</w:t>
            </w:r>
          </w:p>
        </w:tc>
        <w:tc>
          <w:tcPr>
            <w:tcW w:type="dxa" w:w="27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Contoh</w:t>
            </w:r>
          </w:p>
        </w:tc>
        <w:tc>
          <w:tcPr>
            <w:tcW w:type="dxa" w:w="14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Severity Awal</w:t>
            </w:r>
          </w:p>
        </w:tc>
        <w:tc>
          <w:tcPr>
            <w:tcW w:type="dxa" w:w="32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Tindakan Pertama</w:t>
            </w:r>
          </w:p>
        </w:tc>
      </w:tr>
      <w:tr>
        <w:tc>
          <w:tcPr>
            <w:tcW w:type="dxa" w:w="2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Misdirected Email</w:t>
            </w:r>
          </w:p>
        </w:tc>
        <w:tc>
          <w:tcPr>
            <w:tcW w:type="dxa" w:w="27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Email Rahasia terkirim ke alamat yang salah</w:t>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P2–P3</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Recall + hubungi penerima dalam 30 menit</w:t>
            </w:r>
          </w:p>
        </w:tc>
      </w:tr>
      <w:tr>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Media hilang/dicuri</w:t>
            </w:r>
          </w:p>
        </w:tc>
        <w:tc>
          <w:tcPr>
            <w:tcW w:type="dxa" w:w="2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USB berisi data nasabah tidak ditemukan</w:t>
            </w:r>
          </w:p>
        </w:tc>
        <w:tc>
          <w:tcPr>
            <w:tcW w:type="dxa" w:w="1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P1–P2</w:t>
            </w:r>
          </w:p>
        </w:tc>
        <w:tc>
          <w:tcPr>
            <w:tcW w:type="dxa" w:w="32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Lapor IT Security dalam 1 jam</w:t>
            </w:r>
          </w:p>
        </w:tc>
      </w:tr>
      <w:tr>
        <w:tc>
          <w:tcPr>
            <w:tcW w:type="dxa" w:w="2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Transfer tidak sah (data exfiltration)</w:t>
            </w:r>
          </w:p>
        </w:tc>
        <w:tc>
          <w:tcPr>
            <w:tcW w:type="dxa" w:w="27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DLP alert: volume besar data terkirim ke cloud pribadi</w:t>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P1</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War Room; blokir akses; investigasi forensik</w:t>
            </w:r>
          </w:p>
        </w:tc>
      </w:tr>
      <w:tr>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Intersepsi/MITM</w:t>
            </w:r>
          </w:p>
        </w:tc>
        <w:tc>
          <w:tcPr>
            <w:tcW w:type="dxa" w:w="2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Sertifikat TLS tidak valid; koneksi diredirect ke server asing</w:t>
            </w:r>
          </w:p>
        </w:tc>
        <w:tc>
          <w:tcPr>
            <w:tcW w:type="dxa" w:w="1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P2</w:t>
            </w:r>
          </w:p>
        </w:tc>
        <w:tc>
          <w:tcPr>
            <w:tcW w:type="dxa" w:w="32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Hentikan transfer; isolasi endpoint; investigasi</w:t>
            </w:r>
          </w:p>
        </w:tc>
      </w:tr>
      <w:tr>
        <w:tc>
          <w:tcPr>
            <w:tcW w:type="dxa" w:w="2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Integritas data terganggu</w:t>
            </w:r>
          </w:p>
        </w:tc>
        <w:tc>
          <w:tcPr>
            <w:tcW w:type="dxa" w:w="27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Checksum SHA-256 tidak cocok setelah transfer</w:t>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P2–P3</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Jangan proses data; verifikasi ulang transfer</w:t>
            </w:r>
          </w:p>
        </w:tc>
      </w:tr>
      <w:tr>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Akun SFTP/API dikompromisasi</w:t>
            </w:r>
          </w:p>
        </w:tc>
        <w:tc>
          <w:tcPr>
            <w:tcW w:type="dxa" w:w="2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Login dari IP asing; transfer tidak dikenal</w:t>
            </w:r>
          </w:p>
        </w:tc>
        <w:tc>
          <w:tcPr>
            <w:tcW w:type="dxa" w:w="1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P1–P2</w:t>
            </w:r>
          </w:p>
        </w:tc>
        <w:tc>
          <w:tcPr>
            <w:tcW w:type="dxa" w:w="32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Disable akun segera; investigasi log</w:t>
            </w:r>
          </w:p>
        </w:tc>
      </w:tr>
    </w:tbl>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11.2 Prosedur Respons Insiden Transfer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60"/>
        <w:gridCol w:w="1500"/>
        <w:gridCol w:w="1800"/>
      </w:tblGrid>
      <w:tr>
        <w:tc>
          <w:tcPr>
            <w:tcW w:type="dxa" w:w="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No.</w:t>
            </w:r>
          </w:p>
        </w:tc>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Langkah</w:t>
            </w:r>
          </w:p>
        </w:tc>
        <w:tc>
          <w:tcPr>
            <w:tcW w:type="dxa" w:w="32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Deskripsi / Instruksi Kerja</w:t>
            </w:r>
          </w:p>
        </w:tc>
        <w:tc>
          <w:tcPr>
            <w:tcW w:type="dxa" w:w="15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PIC</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Output / Bukti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9.1</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Deteksi &amp; Laporan Awal</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Siapapun yang mendeteksi insiden segera melaporkan ke SOC/IT Security via hotline (ext. 1199) atau tiket ITSM priority tinggi. Sertakan: apa yang terjadi, kapan, data apa yang terdampak.</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Pelapor</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Tiket insiden terbuka</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9.2</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Konfirmasi &amp; Triage</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SOC mengkonfirmasi insiden dan menentukan severity P1–P4 berdasarkan jenis data dan dampak.</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SOC Analyst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Severity tertentu; tiket diperbarui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9.3</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Containment segera</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Hentikan transfer yang sedang berlangsung. Cabut/disable akun yang terdampak. Isolasi endpoint jika perlu. Preserve log (jangan dihapus).</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Security / SOC</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Transfer dihentikan; log tersimpan</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9.4</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Notifikasi internal</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SOC Leader memberitahu IT Manager dan CISO dalam 1 jam. Jika data pribadi terdampak: DPO diberitahu segera.</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SOC Leader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Notifikasi CISO &amp; DPO</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9.5</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Investigasi forensik</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IT Security mengidentifikasi: volume data terdampak, jalur transfer, asal insiden, apakah data telah diakses/dieksfiltrasi.</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Security</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Laporan forensik awal</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9.6</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Penilaian dampak data pribadi</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DPO menilai apakah data pribadi nasabah atau karyawan terdampak. Jika ya: mulai hitung waktu untuk notifikasi OJK (24 jam) dan nasabah (72 jam).</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DPO</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Penilaian dampak data pribadi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9.7</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Notifikasi OJK &amp; nasabah (jika perlu)</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DPO menyiapkan dan mengirimkan notifikasi kepada OJK dalam 24 jam dan kepada nasabah terdampak dalam 72 jam sesuai UU PDP.</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DPO + CISO</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Notifikasi terkirim &amp; terdokumentasi</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9.8</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Pemulihan &amp; mitigasi</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Terapkan tindakan korektif: reset credential, patch kerentanan, perbarui konfigurasi DLP, revisi prosedur jika diperlukan.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Security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Tindakan korektif terimplementasi</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9.9</w:t>
            </w:r>
          </w:p>
        </w:tc>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Post-Incident Report</w:t>
            </w:r>
          </w:p>
        </w:tc>
        <w:tc>
          <w:tcPr>
            <w:tcW w:type="dxa" w:w="326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CISO menyiapkan laporan insiden lengkap untuk Direksi dan Internal Audit dalam 5 hari kerja. Sertakan: timeline, dampak, root cause, tindakan, rekomendasi.</w:t>
            </w:r>
          </w:p>
        </w:tc>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CISO</w:t>
            </w:r>
          </w:p>
        </w:tc>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Post-Incident Report selesai</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center"/>
            </w:pPr>
            <w:r>
              <w:rPr>
                <w:rFonts w:ascii="Arial" w:cs="Arial" w:eastAsia="Arial" w:hAnsi="Arial"/>
                <w:b/>
                <w:bCs/>
                <w:i w:val="false"/>
                <w:iCs w:val="false"/>
                <w:color w:val="2D7A4F"/>
                <w:sz w:val="20"/>
                <w:szCs w:val="20"/>
              </w:rPr>
              <w:t xml:space="preserve">9.10</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bCs/>
                <w:i w:val="false"/>
                <w:iCs w:val="false"/>
                <w:color w:val="1A1A1A"/>
                <w:sz w:val="20"/>
                <w:szCs w:val="20"/>
              </w:rPr>
              <w:t xml:space="preserve">Update prosedur (jika perlu)</w:t>
            </w:r>
          </w:p>
        </w:tc>
        <w:tc>
          <w:tcPr>
            <w:tcW w:type="dxa" w:w="3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Jika insiden mengungkap celah dalam prosedur ini, IT Security memperbarui SOP dan mendistribusikannya dalam 10 hari kerja.</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555555"/>
                <w:sz w:val="18"/>
                <w:szCs w:val="18"/>
              </w:rPr>
              <w:t xml:space="preserve">IT Security + IT Manager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18"/>
                <w:szCs w:val="18"/>
              </w:rPr>
              <w:t xml:space="preserve">SOP diperbarui &amp; didistribusikan</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12. KONTROL KUALITAS DAN PEMANTAUAN</w:t>
      </w:r>
    </w:p>
    <w:p>
      <w:pPr>
        <w:pStyle w:val="Heading2"/>
        <w:spacing w:before="220" w:after="100"/>
      </w:pPr>
      <w:r>
        <w:rPr>
          <w:rFonts w:ascii="Arial" w:cs="Arial" w:eastAsia="Arial" w:hAnsi="Arial"/>
          <w:b/>
          <w:bCs/>
          <w:i w:val="false"/>
          <w:iCs w:val="false"/>
          <w:color w:val="2D7A4F"/>
          <w:sz w:val="26"/>
          <w:szCs w:val="26"/>
        </w:rPr>
        <w:t xml:space="preserve">12.1 Indikator Kinerja (KPI)</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c>
          <w:tcPr>
            <w:tcW w:type="dxa" w:w="2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KPI</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Target</w:t>
            </w:r>
          </w:p>
        </w:tc>
        <w:tc>
          <w:tcPr>
            <w:tcW w:type="dxa" w:w="2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Frekuensi Pengukuran</w:t>
            </w:r>
          </w:p>
        </w:tc>
        <w:tc>
          <w:tcPr>
            <w:tcW w:type="dxa" w:w="27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PIC</w:t>
            </w:r>
          </w:p>
        </w:tc>
      </w:tr>
      <w:tr>
        <w:tc>
          <w:tcPr>
            <w:tcW w:type="dxa" w:w="2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 transfer Rahasia dengan enkripsi yang terverifikasi</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100%</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Bulanan</w:t>
            </w:r>
          </w:p>
        </w:tc>
        <w:tc>
          <w:tcPr>
            <w:tcW w:type="dxa" w:w="27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Security</w:t>
            </w:r>
          </w:p>
        </w:tc>
      </w:tr>
      <w:tr>
        <w:tc>
          <w:tcPr>
            <w:tcW w:type="dxa" w:w="2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Jumlah misdirected email terdeteksi DLP</w:t>
            </w:r>
          </w:p>
        </w:tc>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0 per bulan (Rahasia/Terbatas)</w:t>
            </w:r>
          </w:p>
        </w:tc>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Bulanan</w:t>
            </w:r>
          </w:p>
        </w:tc>
        <w:tc>
          <w:tcPr>
            <w:tcW w:type="dxa" w:w="27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Security</w:t>
            </w:r>
          </w:p>
        </w:tc>
      </w:tr>
      <w:tr>
        <w:tc>
          <w:tcPr>
            <w:tcW w:type="dxa" w:w="2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Waktu respons insiden transfer P1</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&lt; 1 jam</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Per insiden</w:t>
            </w:r>
          </w:p>
        </w:tc>
        <w:tc>
          <w:tcPr>
            <w:tcW w:type="dxa" w:w="27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CISO</w:t>
            </w:r>
          </w:p>
        </w:tc>
      </w:tr>
      <w:tr>
        <w:tc>
          <w:tcPr>
            <w:tcW w:type="dxa" w:w="2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 akun SFTP vendor yang dicabut sesuai jadwal</w:t>
            </w:r>
          </w:p>
        </w:tc>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100%</w:t>
            </w:r>
          </w:p>
        </w:tc>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Bulanan</w:t>
            </w:r>
          </w:p>
        </w:tc>
        <w:tc>
          <w:tcPr>
            <w:tcW w:type="dxa" w:w="27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Operations</w:t>
            </w:r>
          </w:p>
        </w:tc>
      </w:tr>
      <w:tr>
        <w:tc>
          <w:tcPr>
            <w:tcW w:type="dxa" w:w="2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 vendor dengan NDA aktif sebelum transfer pertama</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100%</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Per onboarding</w:t>
            </w:r>
          </w:p>
        </w:tc>
        <w:tc>
          <w:tcPr>
            <w:tcW w:type="dxa" w:w="27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Manager / Procurement</w:t>
            </w:r>
          </w:p>
        </w:tc>
      </w:tr>
      <w:tr>
        <w:tc>
          <w:tcPr>
            <w:tcW w:type="dxa" w:w="2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 transfer cross-border dengan TIA selesai</w:t>
            </w:r>
          </w:p>
        </w:tc>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100%</w:t>
            </w:r>
          </w:p>
        </w:tc>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Per transfer</w:t>
            </w:r>
          </w:p>
        </w:tc>
        <w:tc>
          <w:tcPr>
            <w:tcW w:type="dxa" w:w="27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DPO</w:t>
            </w:r>
          </w:p>
        </w:tc>
      </w:tr>
      <w:tr>
        <w:tc>
          <w:tcPr>
            <w:tcW w:type="dxa" w:w="2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Waktu notifikasi OJK setelah data breach</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&lt; 24 jam</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Per insiden</w:t>
            </w:r>
          </w:p>
        </w:tc>
        <w:tc>
          <w:tcPr>
            <w:tcW w:type="dxa" w:w="27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DPO</w:t>
            </w:r>
          </w:p>
        </w:tc>
      </w:tr>
      <w:tr>
        <w:tc>
          <w:tcPr>
            <w:tcW w:type="dxa" w:w="2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Coverage audit log transfer (% transfer yang tercatat)</w:t>
            </w:r>
          </w:p>
        </w:tc>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100% untuk Rahasia/Terbatas</w:t>
            </w:r>
          </w:p>
        </w:tc>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Bulanan</w:t>
            </w:r>
          </w:p>
        </w:tc>
        <w:tc>
          <w:tcPr>
            <w:tcW w:type="dxa" w:w="27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Security</w:t>
            </w:r>
          </w:p>
        </w:tc>
      </w:tr>
    </w:tbl>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12.2 Review Berkala</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IT Security melakukan review atas log transfer SFTP dan alert DLP setiap minggu.</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IT Manager melakukan tinjauan akun SFTP aktif setiap bulan untuk memastikan tidak ada akun yang melebihi masa berlakunya.</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DPO melakukan review atas daftar cross-border transfer yang aktif setiap kuartal.</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CISO melakukan evaluasi efektivitas prosedur ini setiap tahun atau setelah insiden transfer yang signifikan.</w:t>
      </w:r>
    </w:p>
    <w:p>
      <w:pPr>
        <w:spacing w:after="120"/>
      </w:pPr>
      <w:r>
        <w:t xml:space="preserve"/>
      </w:r>
    </w:p>
    <w:p>
      <w:pPr>
        <w:pStyle w:val="Heading1"/>
        <w:pageBreakBefore/>
      </w:pPr>
      <w:r>
        <w:rPr>
          <w:rFonts w:ascii="Arial" w:cs="Arial" w:eastAsia="Arial" w:hAnsi="Arial"/>
          <w:b/>
          <w:bCs/>
          <w:i w:val="false"/>
          <w:iCs w:val="false"/>
          <w:color w:val="1B4D35"/>
          <w:sz w:val="36"/>
          <w:szCs w:val="36"/>
        </w:rPr>
        <w:t xml:space="preserve">13. PERSETUJUAN DAN PENGESAHAN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Jabatan</w:t>
            </w:r>
          </w:p>
        </w:tc>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Nama</w:t>
            </w:r>
          </w:p>
        </w:tc>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Tanda Tangan</w:t>
            </w:r>
          </w:p>
        </w:tc>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Tanggal</w:t>
            </w:r>
          </w:p>
        </w:tc>
      </w:tr>
      <w:tr>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Penyusun — IT Security Team</w:t>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Reviewer — IT Manager</w:t>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Reviewer — DPO</w:t>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Pengesah — CISO</w:t>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14. LAMPIRAN</w:t>
      </w:r>
    </w:p>
    <w:p>
      <w:pPr>
        <w:pStyle w:val="Heading2"/>
        <w:spacing w:before="220" w:after="100"/>
      </w:pPr>
      <w:r>
        <w:rPr>
          <w:rFonts w:ascii="Arial" w:cs="Arial" w:eastAsia="Arial" w:hAnsi="Arial"/>
          <w:b/>
          <w:bCs/>
          <w:i w:val="false"/>
          <w:iCs w:val="false"/>
          <w:color w:val="2D7A4F"/>
          <w:sz w:val="26"/>
          <w:szCs w:val="26"/>
        </w:rPr>
        <w:t xml:space="preserve">Lampiran A — Pre-Transfer Checklist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D6EDE0" w:val="clear"/>
            <w:tcMar>
              <w:top w:type="dxa" w:w="100"/>
              <w:left w:type="dxa" w:w="200"/>
              <w:bottom w:type="dxa" w:w="100"/>
              <w:right w:type="dxa" w:w="200"/>
            </w:tcMar>
          </w:tcPr>
          <w:p>
            <w:pPr>
              <w:spacing w:before="0" w:after="80"/>
              <w:jc w:val="left"/>
            </w:pPr>
            <w:r>
              <w:rPr>
                <w:rFonts w:ascii="Arial" w:cs="Arial" w:eastAsia="Arial" w:hAnsi="Arial"/>
                <w:b w:val="false"/>
                <w:bCs w:val="false"/>
                <w:i w:val="false"/>
                <w:iCs w:val="false"/>
                <w:color w:val="1B4D35"/>
                <w:sz w:val="19"/>
                <w:szCs w:val="19"/>
              </w:rPr>
              <w:t xml:space="preserve">Gunakan checklist ini sebelum setiap transfer informasi Rahasia atau Terbatas. Semua item harus terpenuhi sebelum transfer dilanjutkan.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1400"/>
        <w:gridCol w:w="2800"/>
      </w:tblGrid>
      <w:tr>
        <w:tc>
          <w:tcPr>
            <w:tcW w:type="dxa" w:w="4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w:t>
            </w:r>
          </w:p>
        </w:tc>
        <w:tc>
          <w:tcPr>
            <w:tcW w:type="dxa" w:w="45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Item Checklist</w:t>
            </w:r>
          </w:p>
        </w:tc>
        <w:tc>
          <w:tcPr>
            <w:tcW w:type="dxa" w:w="14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Terpenuhi?</w:t>
            </w:r>
          </w:p>
        </w:tc>
        <w:tc>
          <w:tcPr>
            <w:tcW w:type="dxa" w:w="2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Catatan</w:t>
            </w:r>
          </w:p>
        </w:tc>
      </w:tr>
      <w:tr>
        <w:tc>
          <w:tcPr>
            <w:tcW w:type="dxa" w:w="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1</w:t>
            </w:r>
          </w:p>
        </w:tc>
        <w:tc>
          <w:tcPr>
            <w:tcW w:type="dxa" w:w="4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Klasifikasi informasi telah diidentifikasi</w:t>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YA / TIDAK</w:t>
            </w:r>
          </w:p>
        </w:tc>
        <w:tc>
          <w:tcPr>
            <w:tcW w:type="dxa" w:w="2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2</w:t>
            </w:r>
          </w:p>
        </w:tc>
        <w:tc>
          <w:tcPr>
            <w:tcW w:type="dxa" w:w="4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Otorisasi pengirim untuk berbagi informasi ini telah dikonfirmasi</w:t>
            </w:r>
          </w:p>
        </w:tc>
        <w:tc>
          <w:tcPr>
            <w:tcW w:type="dxa" w:w="1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YA / TIDAK</w:t>
            </w:r>
          </w:p>
        </w:tc>
        <w:tc>
          <w:tcPr>
            <w:tcW w:type="dxa" w:w="2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3</w:t>
            </w:r>
          </w:p>
        </w:tc>
        <w:tc>
          <w:tcPr>
            <w:tcW w:type="dxa" w:w="4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Identitas dan wewenang penerima telah diverifikasi</w:t>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YA / TIDAK</w:t>
            </w:r>
          </w:p>
        </w:tc>
        <w:tc>
          <w:tcPr>
            <w:tcW w:type="dxa" w:w="2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4</w:t>
            </w:r>
          </w:p>
        </w:tc>
        <w:tc>
          <w:tcPr>
            <w:tcW w:type="dxa" w:w="4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NDA/DTA dengan penerima eksternal aktif (jika berlaku)</w:t>
            </w:r>
          </w:p>
        </w:tc>
        <w:tc>
          <w:tcPr>
            <w:tcW w:type="dxa" w:w="1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YA / TIDAK / N/A</w:t>
            </w:r>
          </w:p>
        </w:tc>
        <w:tc>
          <w:tcPr>
            <w:tcW w:type="dxa" w:w="2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5</w:t>
            </w:r>
          </w:p>
        </w:tc>
        <w:tc>
          <w:tcPr>
            <w:tcW w:type="dxa" w:w="4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Persetujuan IT Manager / CISO diperoleh (jika Rahasia/Terbatas)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YA / TIDAK / N/A</w:t>
            </w:r>
          </w:p>
        </w:tc>
        <w:tc>
          <w:tcPr>
            <w:tcW w:type="dxa" w:w="2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6</w:t>
            </w:r>
          </w:p>
        </w:tc>
        <w:tc>
          <w:tcPr>
            <w:tcW w:type="dxa" w:w="4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Saluran transfer yang tepat telah dipilih sesuai klasifikasi</w:t>
            </w:r>
          </w:p>
        </w:tc>
        <w:tc>
          <w:tcPr>
            <w:tcW w:type="dxa" w:w="1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YA / TIDAK</w:t>
            </w:r>
          </w:p>
        </w:tc>
        <w:tc>
          <w:tcPr>
            <w:tcW w:type="dxa" w:w="2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7</w:t>
            </w:r>
          </w:p>
        </w:tc>
        <w:tc>
          <w:tcPr>
            <w:tcW w:type="dxa" w:w="4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Enkripsi disiapkan (algoritma dan kunci tersedia)</w:t>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YA / TIDAK / N/A</w:t>
            </w:r>
          </w:p>
        </w:tc>
        <w:tc>
          <w:tcPr>
            <w:tcW w:type="dxa" w:w="2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8</w:t>
            </w:r>
          </w:p>
        </w:tc>
        <w:tc>
          <w:tcPr>
            <w:tcW w:type="dxa" w:w="4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Password/kunci akan dikirim melalui saluran terpisah</w:t>
            </w:r>
          </w:p>
        </w:tc>
        <w:tc>
          <w:tcPr>
            <w:tcW w:type="dxa" w:w="1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YA / TIDAK / N/A</w:t>
            </w:r>
          </w:p>
        </w:tc>
        <w:tc>
          <w:tcPr>
            <w:tcW w:type="dxa" w:w="2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9</w:t>
            </w:r>
          </w:p>
        </w:tc>
        <w:tc>
          <w:tcPr>
            <w:tcW w:type="dxa" w:w="4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Checksum SHA-256 akan dihitung sebelum transfer (untuk file transfer)</w:t>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YA / TIDAK / N/A</w:t>
            </w:r>
          </w:p>
        </w:tc>
        <w:tc>
          <w:tcPr>
            <w:tcW w:type="dxa" w:w="2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10</w:t>
            </w:r>
          </w:p>
        </w:tc>
        <w:tc>
          <w:tcPr>
            <w:tcW w:type="dxa" w:w="4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Log transfer akan diisi setelah transfer selesai</w:t>
            </w:r>
          </w:p>
        </w:tc>
        <w:tc>
          <w:tcPr>
            <w:tcW w:type="dxa" w:w="1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YA / TIDAK</w:t>
            </w:r>
          </w:p>
        </w:tc>
        <w:tc>
          <w:tcPr>
            <w:tcW w:type="dxa" w:w="2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bl>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Lampiran B — Template Log Transfer Informasi</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200"/>
        <w:gridCol w:w="1400"/>
        <w:gridCol w:w="1200"/>
        <w:gridCol w:w="1400"/>
        <w:gridCol w:w="2060"/>
      </w:tblGrid>
      <w:tr>
        <w:tc>
          <w:tcPr>
            <w:tcW w:type="dxa" w:w="9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No.</w:t>
            </w:r>
          </w:p>
        </w:tc>
        <w:tc>
          <w:tcPr>
            <w:tcW w:type="dxa" w:w="1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Tanggal</w:t>
            </w:r>
          </w:p>
        </w:tc>
        <w:tc>
          <w:tcPr>
            <w:tcW w:type="dxa" w:w="1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Pengirim</w:t>
            </w:r>
          </w:p>
        </w:tc>
        <w:tc>
          <w:tcPr>
            <w:tcW w:type="dxa" w:w="14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Penerima (&amp; Org.)</w:t>
            </w:r>
          </w:p>
        </w:tc>
        <w:tc>
          <w:tcPr>
            <w:tcW w:type="dxa" w:w="1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Saluran</w:t>
            </w:r>
          </w:p>
        </w:tc>
        <w:tc>
          <w:tcPr>
            <w:tcW w:type="dxa" w:w="14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Deskripsi Data / File</w:t>
            </w:r>
          </w:p>
        </w:tc>
        <w:tc>
          <w:tcPr>
            <w:tcW w:type="dxa" w:w="20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Approver / No. Persetujuan</w:t>
            </w:r>
          </w:p>
        </w:tc>
      </w:tr>
      <w:tr>
        <w:tc>
          <w:tcPr>
            <w:tcW w:type="dxa" w:w="9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val="false"/>
                <w:bCs w:val="false"/>
                <w:i w:val="false"/>
                <w:iCs w:val="false"/>
                <w:color w:val="1A1A1A"/>
                <w:sz w:val="20"/>
                <w:szCs w:val="20"/>
              </w:rPr>
              <w:t xml:space="preserve">1</w:t>
            </w:r>
          </w:p>
        </w:tc>
        <w:tc>
          <w:tcPr>
            <w:tcW w:type="dxa" w:w="1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1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1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0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9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val="false"/>
                <w:bCs w:val="false"/>
                <w:i w:val="false"/>
                <w:iCs w:val="false"/>
                <w:color w:val="1A1A1A"/>
                <w:sz w:val="20"/>
                <w:szCs w:val="20"/>
              </w:rPr>
              <w:t xml:space="preserve">2</w:t>
            </w:r>
          </w:p>
        </w:tc>
        <w:tc>
          <w:tcPr>
            <w:tcW w:type="dxa" w:w="1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1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1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0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9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val="false"/>
                <w:bCs w:val="false"/>
                <w:i w:val="false"/>
                <w:iCs w:val="false"/>
                <w:color w:val="1A1A1A"/>
                <w:sz w:val="20"/>
                <w:szCs w:val="20"/>
              </w:rPr>
              <w:t xml:space="preserve">3</w:t>
            </w:r>
          </w:p>
        </w:tc>
        <w:tc>
          <w:tcPr>
            <w:tcW w:type="dxa" w:w="1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1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1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0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9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val="false"/>
                <w:bCs w:val="false"/>
                <w:i w:val="false"/>
                <w:iCs w:val="false"/>
                <w:color w:val="1A1A1A"/>
                <w:sz w:val="20"/>
                <w:szCs w:val="20"/>
              </w:rPr>
              <w:t xml:space="preserve">4</w:t>
            </w:r>
          </w:p>
        </w:tc>
        <w:tc>
          <w:tcPr>
            <w:tcW w:type="dxa" w:w="1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1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1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0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9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val="false"/>
                <w:bCs w:val="false"/>
                <w:i w:val="false"/>
                <w:iCs w:val="false"/>
                <w:color w:val="1A1A1A"/>
                <w:sz w:val="20"/>
                <w:szCs w:val="20"/>
              </w:rPr>
              <w:t xml:space="preserve">5</w:t>
            </w:r>
          </w:p>
        </w:tc>
        <w:tc>
          <w:tcPr>
            <w:tcW w:type="dxa" w:w="1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1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1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0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3CD" w:val="clear"/>
            <w:tcMar>
              <w:top w:type="dxa" w:w="100"/>
              <w:left w:type="dxa" w:w="200"/>
              <w:bottom w:type="dxa" w:w="100"/>
              <w:right w:type="dxa" w:w="200"/>
            </w:tcMar>
          </w:tcPr>
          <w:p>
            <w:pPr>
              <w:spacing w:before="0" w:after="80"/>
              <w:jc w:val="left"/>
            </w:pPr>
            <w:r>
              <w:rPr>
                <w:rFonts w:ascii="Arial" w:cs="Arial" w:eastAsia="Arial" w:hAnsi="Arial"/>
                <w:b w:val="false"/>
                <w:bCs w:val="false"/>
                <w:i w:val="false"/>
                <w:iCs w:val="false"/>
                <w:color w:val="1A1A1A"/>
                <w:sz w:val="19"/>
                <w:szCs w:val="19"/>
              </w:rPr>
              <w:t xml:space="preserve">Log ini wajib disimpan minimal 1 tahun (Rahasia) atau 5 tahun (transfer ke regulator &amp; cross-border). Lokasi penyimpanan: SharePoint IT Security folder / ITSM record terkait.</w:t>
            </w:r>
          </w:p>
        </w:tc>
      </w:tr>
    </w:tbl>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Lampiran C — Matriks RACI Perpindahan Informasi</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200"/>
        <w:gridCol w:w="1300"/>
        <w:gridCol w:w="1100"/>
        <w:gridCol w:w="1100"/>
        <w:gridCol w:w="1160"/>
      </w:tblGrid>
      <w:tr>
        <w:tc>
          <w:tcPr>
            <w:tcW w:type="dxa" w:w="25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Aktivitas</w:t>
            </w:r>
          </w:p>
        </w:tc>
        <w:tc>
          <w:tcPr>
            <w:tcW w:type="dxa" w:w="1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CISO</w:t>
            </w:r>
          </w:p>
        </w:tc>
        <w:tc>
          <w:tcPr>
            <w:tcW w:type="dxa" w:w="1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IT Manager</w:t>
            </w:r>
          </w:p>
        </w:tc>
        <w:tc>
          <w:tcPr>
            <w:tcW w:type="dxa" w:w="13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IT Security</w:t>
            </w:r>
          </w:p>
        </w:tc>
        <w:tc>
          <w:tcPr>
            <w:tcW w:type="dxa" w:w="11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IT Ops</w:t>
            </w:r>
          </w:p>
        </w:tc>
        <w:tc>
          <w:tcPr>
            <w:tcW w:type="dxa" w:w="11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DPO</w:t>
            </w:r>
          </w:p>
        </w:tc>
        <w:tc>
          <w:tcPr>
            <w:tcW w:type="dxa" w:w="11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User/Pengirim</w:t>
            </w:r>
          </w:p>
        </w:tc>
      </w:tr>
      <w:tr>
        <w:tc>
          <w:tcPr>
            <w:tcW w:type="dxa" w:w="2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Pre-Transfer Assessment</w:t>
            </w:r>
          </w:p>
        </w:tc>
        <w:tc>
          <w:tcPr>
            <w:tcW w:type="dxa" w:w="1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t>
            </w:r>
          </w:p>
        </w:tc>
        <w:tc>
          <w:tcPr>
            <w:tcW w:type="dxa" w:w="1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w:t>
            </w:r>
          </w:p>
        </w:tc>
        <w:tc>
          <w:tcPr>
            <w:tcW w:type="dxa" w:w="13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w:t>
            </w:r>
          </w:p>
        </w:tc>
        <w:tc>
          <w:tcPr>
            <w:tcW w:type="dxa" w:w="11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w:t>
            </w:r>
          </w:p>
        </w:tc>
        <w:tc>
          <w:tcPr>
            <w:tcW w:type="dxa" w:w="11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 (PII)</w:t>
            </w:r>
          </w:p>
        </w:tc>
        <w:tc>
          <w:tcPr>
            <w:tcW w:type="dxa" w:w="1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w:t>
            </w:r>
          </w:p>
        </w:tc>
      </w:tr>
      <w:tr>
        <w:tc>
          <w:tcPr>
            <w:tcW w:type="dxa" w:w="25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Transfer email internal</w:t>
            </w:r>
          </w:p>
        </w:tc>
        <w:tc>
          <w:tcPr>
            <w:tcW w:type="dxa" w:w="1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t>
            </w:r>
          </w:p>
        </w:tc>
        <w:tc>
          <w:tcPr>
            <w:tcW w:type="dxa" w:w="1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w:t>
            </w:r>
          </w:p>
        </w:tc>
        <w:tc>
          <w:tcPr>
            <w:tcW w:type="dxa" w:w="13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w:t>
            </w:r>
          </w:p>
        </w:tc>
        <w:tc>
          <w:tcPr>
            <w:tcW w:type="dxa" w:w="11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w:t>
            </w:r>
          </w:p>
        </w:tc>
        <w:tc>
          <w:tcPr>
            <w:tcW w:type="dxa" w:w="11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t>
            </w:r>
          </w:p>
        </w:tc>
        <w:tc>
          <w:tcPr>
            <w:tcW w:type="dxa" w:w="11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w:t>
            </w:r>
          </w:p>
        </w:tc>
      </w:tr>
      <w:tr>
        <w:tc>
          <w:tcPr>
            <w:tcW w:type="dxa" w:w="2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Transfer email eksternal (Rahasia)</w:t>
            </w:r>
          </w:p>
        </w:tc>
        <w:tc>
          <w:tcPr>
            <w:tcW w:type="dxa" w:w="1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w:t>
            </w:r>
          </w:p>
        </w:tc>
        <w:tc>
          <w:tcPr>
            <w:tcW w:type="dxa" w:w="1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w:t>
            </w:r>
          </w:p>
        </w:tc>
        <w:tc>
          <w:tcPr>
            <w:tcW w:type="dxa" w:w="13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w:t>
            </w:r>
          </w:p>
        </w:tc>
        <w:tc>
          <w:tcPr>
            <w:tcW w:type="dxa" w:w="11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w:t>
            </w:r>
          </w:p>
        </w:tc>
        <w:tc>
          <w:tcPr>
            <w:tcW w:type="dxa" w:w="11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 (PII)</w:t>
            </w:r>
          </w:p>
        </w:tc>
        <w:tc>
          <w:tcPr>
            <w:tcW w:type="dxa" w:w="1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w:t>
            </w:r>
          </w:p>
        </w:tc>
      </w:tr>
      <w:tr>
        <w:tc>
          <w:tcPr>
            <w:tcW w:type="dxa" w:w="25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Setup &amp; kelola akun SFTP</w:t>
            </w:r>
          </w:p>
        </w:tc>
        <w:tc>
          <w:tcPr>
            <w:tcW w:type="dxa" w:w="1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w:t>
            </w:r>
          </w:p>
        </w:tc>
        <w:tc>
          <w:tcPr>
            <w:tcW w:type="dxa" w:w="1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w:t>
            </w:r>
          </w:p>
        </w:tc>
        <w:tc>
          <w:tcPr>
            <w:tcW w:type="dxa" w:w="13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w:t>
            </w:r>
          </w:p>
        </w:tc>
        <w:tc>
          <w:tcPr>
            <w:tcW w:type="dxa" w:w="11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w:t>
            </w:r>
          </w:p>
        </w:tc>
        <w:tc>
          <w:tcPr>
            <w:tcW w:type="dxa" w:w="11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t>
            </w:r>
          </w:p>
        </w:tc>
        <w:tc>
          <w:tcPr>
            <w:tcW w:type="dxa" w:w="11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w:t>
            </w:r>
          </w:p>
        </w:tc>
      </w:tr>
      <w:tr>
        <w:tc>
          <w:tcPr>
            <w:tcW w:type="dxa" w:w="2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Transfer via SFTP eksternal</w:t>
            </w:r>
          </w:p>
        </w:tc>
        <w:tc>
          <w:tcPr>
            <w:tcW w:type="dxa" w:w="1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w:t>
            </w:r>
          </w:p>
        </w:tc>
        <w:tc>
          <w:tcPr>
            <w:tcW w:type="dxa" w:w="1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w:t>
            </w:r>
          </w:p>
        </w:tc>
        <w:tc>
          <w:tcPr>
            <w:tcW w:type="dxa" w:w="13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w:t>
            </w:r>
          </w:p>
        </w:tc>
        <w:tc>
          <w:tcPr>
            <w:tcW w:type="dxa" w:w="11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w:t>
            </w:r>
          </w:p>
        </w:tc>
        <w:tc>
          <w:tcPr>
            <w:tcW w:type="dxa" w:w="11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t>
            </w:r>
          </w:p>
        </w:tc>
        <w:tc>
          <w:tcPr>
            <w:tcW w:type="dxa" w:w="1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w:t>
            </w:r>
          </w:p>
        </w:tc>
      </w:tr>
      <w:tr>
        <w:tc>
          <w:tcPr>
            <w:tcW w:type="dxa" w:w="25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Setup cloud sharing</w:t>
            </w:r>
          </w:p>
        </w:tc>
        <w:tc>
          <w:tcPr>
            <w:tcW w:type="dxa" w:w="1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t>
            </w:r>
          </w:p>
        </w:tc>
        <w:tc>
          <w:tcPr>
            <w:tcW w:type="dxa" w:w="1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w:t>
            </w:r>
          </w:p>
        </w:tc>
        <w:tc>
          <w:tcPr>
            <w:tcW w:type="dxa" w:w="13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w:t>
            </w:r>
          </w:p>
        </w:tc>
        <w:tc>
          <w:tcPr>
            <w:tcW w:type="dxa" w:w="11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w:t>
            </w:r>
          </w:p>
        </w:tc>
        <w:tc>
          <w:tcPr>
            <w:tcW w:type="dxa" w:w="11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t>
            </w:r>
          </w:p>
        </w:tc>
        <w:tc>
          <w:tcPr>
            <w:tcW w:type="dxa" w:w="11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w:t>
            </w:r>
          </w:p>
        </w:tc>
      </w:tr>
      <w:tr>
        <w:tc>
          <w:tcPr>
            <w:tcW w:type="dxa" w:w="2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Transfer dokumen fisik Rahasia</w:t>
            </w:r>
          </w:p>
        </w:tc>
        <w:tc>
          <w:tcPr>
            <w:tcW w:type="dxa" w:w="1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w:t>
            </w:r>
          </w:p>
        </w:tc>
        <w:tc>
          <w:tcPr>
            <w:tcW w:type="dxa" w:w="1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w:t>
            </w:r>
          </w:p>
        </w:tc>
        <w:tc>
          <w:tcPr>
            <w:tcW w:type="dxa" w:w="13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w:t>
            </w:r>
          </w:p>
        </w:tc>
        <w:tc>
          <w:tcPr>
            <w:tcW w:type="dxa" w:w="11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w:t>
            </w:r>
          </w:p>
        </w:tc>
        <w:tc>
          <w:tcPr>
            <w:tcW w:type="dxa" w:w="11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t>
            </w:r>
          </w:p>
        </w:tc>
        <w:tc>
          <w:tcPr>
            <w:tcW w:type="dxa" w:w="1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w:t>
            </w:r>
          </w:p>
        </w:tc>
      </w:tr>
      <w:tr>
        <w:tc>
          <w:tcPr>
            <w:tcW w:type="dxa" w:w="25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Kelola media penyimpanan portable</w:t>
            </w:r>
          </w:p>
        </w:tc>
        <w:tc>
          <w:tcPr>
            <w:tcW w:type="dxa" w:w="1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t>
            </w:r>
          </w:p>
        </w:tc>
        <w:tc>
          <w:tcPr>
            <w:tcW w:type="dxa" w:w="1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w:t>
            </w:r>
          </w:p>
        </w:tc>
        <w:tc>
          <w:tcPr>
            <w:tcW w:type="dxa" w:w="13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w:t>
            </w:r>
          </w:p>
        </w:tc>
        <w:tc>
          <w:tcPr>
            <w:tcW w:type="dxa" w:w="11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w:t>
            </w:r>
          </w:p>
        </w:tc>
        <w:tc>
          <w:tcPr>
            <w:tcW w:type="dxa" w:w="11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t>
            </w:r>
          </w:p>
        </w:tc>
        <w:tc>
          <w:tcPr>
            <w:tcW w:type="dxa" w:w="11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w:t>
            </w:r>
          </w:p>
        </w:tc>
      </w:tr>
      <w:tr>
        <w:tc>
          <w:tcPr>
            <w:tcW w:type="dxa" w:w="2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Transfer API / integrasi sistem</w:t>
            </w:r>
          </w:p>
        </w:tc>
        <w:tc>
          <w:tcPr>
            <w:tcW w:type="dxa" w:w="1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w:t>
            </w:r>
          </w:p>
        </w:tc>
        <w:tc>
          <w:tcPr>
            <w:tcW w:type="dxa" w:w="1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w:t>
            </w:r>
          </w:p>
        </w:tc>
        <w:tc>
          <w:tcPr>
            <w:tcW w:type="dxa" w:w="13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w:t>
            </w:r>
          </w:p>
        </w:tc>
        <w:tc>
          <w:tcPr>
            <w:tcW w:type="dxa" w:w="11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w:t>
            </w:r>
          </w:p>
        </w:tc>
        <w:tc>
          <w:tcPr>
            <w:tcW w:type="dxa" w:w="11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t>
            </w:r>
          </w:p>
        </w:tc>
        <w:tc>
          <w:tcPr>
            <w:tcW w:type="dxa" w:w="1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w:t>
            </w:r>
          </w:p>
        </w:tc>
      </w:tr>
      <w:tr>
        <w:tc>
          <w:tcPr>
            <w:tcW w:type="dxa" w:w="25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Onboarding vendor (NDA/DTA)</w:t>
            </w:r>
          </w:p>
        </w:tc>
        <w:tc>
          <w:tcPr>
            <w:tcW w:type="dxa" w:w="1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w:t>
            </w:r>
          </w:p>
        </w:tc>
        <w:tc>
          <w:tcPr>
            <w:tcW w:type="dxa" w:w="1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w:t>
            </w:r>
          </w:p>
        </w:tc>
        <w:tc>
          <w:tcPr>
            <w:tcW w:type="dxa" w:w="13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w:t>
            </w:r>
          </w:p>
        </w:tc>
        <w:tc>
          <w:tcPr>
            <w:tcW w:type="dxa" w:w="11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w:t>
            </w:r>
          </w:p>
        </w:tc>
        <w:tc>
          <w:tcPr>
            <w:tcW w:type="dxa" w:w="11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w:t>
            </w:r>
          </w:p>
        </w:tc>
        <w:tc>
          <w:tcPr>
            <w:tcW w:type="dxa" w:w="11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w:t>
            </w:r>
          </w:p>
        </w:tc>
      </w:tr>
      <w:tr>
        <w:tc>
          <w:tcPr>
            <w:tcW w:type="dxa" w:w="2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Transfer ke regulator</w:t>
            </w:r>
          </w:p>
        </w:tc>
        <w:tc>
          <w:tcPr>
            <w:tcW w:type="dxa" w:w="1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w:t>
            </w:r>
          </w:p>
        </w:tc>
        <w:tc>
          <w:tcPr>
            <w:tcW w:type="dxa" w:w="1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w:t>
            </w:r>
          </w:p>
        </w:tc>
        <w:tc>
          <w:tcPr>
            <w:tcW w:type="dxa" w:w="13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w:t>
            </w:r>
          </w:p>
        </w:tc>
        <w:tc>
          <w:tcPr>
            <w:tcW w:type="dxa" w:w="11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w:t>
            </w:r>
          </w:p>
        </w:tc>
        <w:tc>
          <w:tcPr>
            <w:tcW w:type="dxa" w:w="11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w:t>
            </w:r>
          </w:p>
        </w:tc>
        <w:tc>
          <w:tcPr>
            <w:tcW w:type="dxa" w:w="1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w:t>
            </w:r>
          </w:p>
        </w:tc>
      </w:tr>
      <w:tr>
        <w:tc>
          <w:tcPr>
            <w:tcW w:type="dxa" w:w="25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Cross-border transfer</w:t>
            </w:r>
          </w:p>
        </w:tc>
        <w:tc>
          <w:tcPr>
            <w:tcW w:type="dxa" w:w="1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w:t>
            </w:r>
          </w:p>
        </w:tc>
        <w:tc>
          <w:tcPr>
            <w:tcW w:type="dxa" w:w="1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w:t>
            </w:r>
          </w:p>
        </w:tc>
        <w:tc>
          <w:tcPr>
            <w:tcW w:type="dxa" w:w="13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w:t>
            </w:r>
          </w:p>
        </w:tc>
        <w:tc>
          <w:tcPr>
            <w:tcW w:type="dxa" w:w="11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w:t>
            </w:r>
          </w:p>
        </w:tc>
        <w:tc>
          <w:tcPr>
            <w:tcW w:type="dxa" w:w="11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w:t>
            </w:r>
          </w:p>
        </w:tc>
        <w:tc>
          <w:tcPr>
            <w:tcW w:type="dxa" w:w="11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w:t>
            </w:r>
          </w:p>
        </w:tc>
      </w:tr>
      <w:tr>
        <w:tc>
          <w:tcPr>
            <w:tcW w:type="dxa" w:w="2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Penanganan insiden transfer</w:t>
            </w:r>
          </w:p>
        </w:tc>
        <w:tc>
          <w:tcPr>
            <w:tcW w:type="dxa" w:w="1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w:t>
            </w:r>
          </w:p>
        </w:tc>
        <w:tc>
          <w:tcPr>
            <w:tcW w:type="dxa" w:w="1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w:t>
            </w:r>
          </w:p>
        </w:tc>
        <w:tc>
          <w:tcPr>
            <w:tcW w:type="dxa" w:w="13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w:t>
            </w:r>
          </w:p>
        </w:tc>
        <w:tc>
          <w:tcPr>
            <w:tcW w:type="dxa" w:w="11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w:t>
            </w:r>
          </w:p>
        </w:tc>
        <w:tc>
          <w:tcPr>
            <w:tcW w:type="dxa" w:w="11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 (PII)</w:t>
            </w:r>
          </w:p>
        </w:tc>
        <w:tc>
          <w:tcPr>
            <w:tcW w:type="dxa" w:w="1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w:t>
            </w:r>
          </w:p>
        </w:tc>
      </w:tr>
      <w:tr>
        <w:tc>
          <w:tcPr>
            <w:tcW w:type="dxa" w:w="25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Review log transfer bulanan</w:t>
            </w:r>
          </w:p>
        </w:tc>
        <w:tc>
          <w:tcPr>
            <w:tcW w:type="dxa" w:w="1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w:t>
            </w:r>
          </w:p>
        </w:tc>
        <w:tc>
          <w:tcPr>
            <w:tcW w:type="dxa" w:w="1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w:t>
            </w:r>
          </w:p>
        </w:tc>
        <w:tc>
          <w:tcPr>
            <w:tcW w:type="dxa" w:w="13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w:t>
            </w:r>
          </w:p>
        </w:tc>
        <w:tc>
          <w:tcPr>
            <w:tcW w:type="dxa" w:w="11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w:t>
            </w:r>
          </w:p>
        </w:tc>
        <w:tc>
          <w:tcPr>
            <w:tcW w:type="dxa" w:w="11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t>
            </w:r>
          </w:p>
        </w:tc>
        <w:tc>
          <w:tcPr>
            <w:tcW w:type="dxa" w:w="11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D6EDE0" w:val="clear"/>
            <w:tcMar>
              <w:top w:type="dxa" w:w="100"/>
              <w:left w:type="dxa" w:w="200"/>
              <w:bottom w:type="dxa" w:w="100"/>
              <w:right w:type="dxa" w:w="200"/>
            </w:tcMar>
          </w:tcPr>
          <w:p>
            <w:pPr>
              <w:spacing w:before="0" w:after="80"/>
              <w:jc w:val="left"/>
            </w:pPr>
            <w:r>
              <w:rPr>
                <w:rFonts w:ascii="Arial" w:cs="Arial" w:eastAsia="Arial" w:hAnsi="Arial"/>
                <w:b w:val="false"/>
                <w:bCs w:val="false"/>
                <w:i w:val="false"/>
                <w:iCs w:val="false"/>
                <w:color w:val="1B4D35"/>
                <w:sz w:val="19"/>
                <w:szCs w:val="19"/>
              </w:rPr>
              <w:t xml:space="preserve">RACI: R = Responsible, A = Accountable, C = Consulted, I = Informed</w:t>
            </w:r>
          </w:p>
        </w:tc>
      </w:tr>
    </w:tbl>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Lampiran D — Daftar Dokumen Terkait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Kode</w:t>
            </w:r>
          </w:p>
        </w:tc>
        <w:tc>
          <w:tcPr>
            <w:tcW w:type="dxa" w:w="4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Judul</w:t>
            </w:r>
          </w:p>
        </w:tc>
        <w:tc>
          <w:tcPr>
            <w:tcW w:type="dxa" w:w="29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Keterangan</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ELI-POL-ITS-005</w:t>
            </w:r>
          </w:p>
        </w:tc>
        <w:tc>
          <w:tcPr>
            <w:tcW w:type="dxa" w:w="4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Kebijakan Perpindahan Informasi</w:t>
            </w:r>
          </w:p>
        </w:tc>
        <w:tc>
          <w:tcPr>
            <w:tcW w:type="dxa" w:w="29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Kebijakan yang mendasari SOP ini</w:t>
            </w:r>
          </w:p>
        </w:tc>
      </w:tr>
      <w:tr>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ELI-POL-ITS-001</w:t>
            </w:r>
          </w:p>
        </w:tc>
        <w:tc>
          <w:tcPr>
            <w:tcW w:type="dxa" w:w="4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Kebijakan Keamanan Informasi</w:t>
            </w:r>
          </w:p>
        </w:tc>
        <w:tc>
          <w:tcPr>
            <w:tcW w:type="dxa" w:w="29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Kebijakan induk ISMS ELI</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ELI-POL-ITS-004</w:t>
            </w:r>
          </w:p>
        </w:tc>
        <w:tc>
          <w:tcPr>
            <w:tcW w:type="dxa" w:w="4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Kebijakan Communication Plan</w:t>
            </w:r>
          </w:p>
        </w:tc>
        <w:tc>
          <w:tcPr>
            <w:tcW w:type="dxa" w:w="29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Komunikasi insiden terkait transfer</w:t>
            </w:r>
          </w:p>
        </w:tc>
      </w:tr>
      <w:tr>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ELI-SOP-ITS-004</w:t>
            </w:r>
          </w:p>
        </w:tc>
        <w:tc>
          <w:tcPr>
            <w:tcW w:type="dxa" w:w="4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SOP Communication Plan</w:t>
            </w:r>
          </w:p>
        </w:tc>
        <w:tc>
          <w:tcPr>
            <w:tcW w:type="dxa" w:w="29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Prosedur komunikasi</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ELI-FORM-ITS-004</w:t>
            </w:r>
          </w:p>
        </w:tc>
        <w:tc>
          <w:tcPr>
            <w:tcW w:type="dxa" w:w="4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Formulir Teguran Pelanggaran</w:t>
            </w:r>
          </w:p>
        </w:tc>
        <w:tc>
          <w:tcPr>
            <w:tcW w:type="dxa" w:w="29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Penanganan pelanggaran transfer</w:t>
            </w:r>
          </w:p>
        </w:tc>
      </w:tr>
      <w:tr>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ISO/IEC 27001:2022 A.5.14</w:t>
            </w:r>
          </w:p>
        </w:tc>
        <w:tc>
          <w:tcPr>
            <w:tcW w:type="dxa" w:w="4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Information Transfer Control</w:t>
            </w:r>
          </w:p>
        </w:tc>
        <w:tc>
          <w:tcPr>
            <w:tcW w:type="dxa" w:w="29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Kontrol referensi utama</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ISO/IEC 27002:2022 Klausul 5.14</w:t>
            </w:r>
          </w:p>
        </w:tc>
        <w:tc>
          <w:tcPr>
            <w:tcW w:type="dxa" w:w="4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Information Transfer — Guidance</w:t>
            </w:r>
          </w:p>
        </w:tc>
        <w:tc>
          <w:tcPr>
            <w:tcW w:type="dxa" w:w="29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Panduan implementasi</w:t>
            </w:r>
          </w:p>
        </w:tc>
      </w:tr>
      <w:tr>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UU No.27/2022</w:t>
            </w:r>
          </w:p>
        </w:tc>
        <w:tc>
          <w:tcPr>
            <w:tcW w:type="dxa" w:w="4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Undang-Undang Pelindungan Data Pribadi</w:t>
            </w:r>
          </w:p>
        </w:tc>
        <w:tc>
          <w:tcPr>
            <w:tcW w:type="dxa" w:w="29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Regulasi transfer data pribadi</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POJK No.11/2022</w:t>
            </w:r>
          </w:p>
        </w:tc>
        <w:tc>
          <w:tcPr>
            <w:tcW w:type="dxa" w:w="4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Tata Kelola TI Perasuransian</w:t>
            </w:r>
          </w:p>
        </w:tc>
        <w:tc>
          <w:tcPr>
            <w:tcW w:type="dxa" w:w="29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Regulasi keamanan TI OJK</w:t>
            </w:r>
          </w:p>
        </w:tc>
      </w:tr>
    </w:tbl>
    <w:p>
      <w:pPr>
        <w:spacing w:after="120"/>
      </w:pPr>
      <w:r>
        <w:t xml:space="preserve"/>
      </w:r>
    </w:p>
    <w:sectPr>
      <w:headerReference w:type="default" r:id="rId6"/>
      <w:footerReference w:type="default" r:id="rId7"/>
      <w:pgSz w:w="12240" w:h="15840" w:orient="portrait"/>
      <w:pgMar w:top="1080" w:right="90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7D" w:sz="6" w:space="1"/>
      </w:pBdr>
      <w:spacing w:before="80"/>
      <w:jc w:val="right"/>
    </w:pPr>
    <w:r>
      <w:rPr>
        <w:rFonts w:ascii="Arial" w:cs="Arial" w:eastAsia="Arial" w:hAnsi="Arial"/>
        <w:b w:val="false"/>
        <w:bCs w:val="false"/>
        <w:i w:val="false"/>
        <w:iCs w:val="false"/>
        <w:color w:val="555555"/>
        <w:sz w:val="16"/>
        <w:szCs w:val="16"/>
      </w:rPr>
      <w:t xml:space="preserve">PT Equity Life Indonesia  |  Halaman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55555"/>
        <w:sz w:val="16"/>
        <w:szCs w:val="16"/>
      </w:rPr>
      <w:t xml:space="preserve"> dari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7A4F" w:sz="6" w:space="1"/>
      </w:pBdr>
      <w:spacing w:after="80"/>
    </w:pPr>
    <w:r>
      <w:rPr>
        <w:rFonts w:ascii="Arial" w:cs="Arial" w:eastAsia="Arial" w:hAnsi="Arial"/>
        <w:b/>
        <w:bCs/>
        <w:i w:val="false"/>
        <w:iCs w:val="false"/>
        <w:color w:val="2D7A4F"/>
        <w:sz w:val="18"/>
        <w:szCs w:val="18"/>
      </w:rPr>
      <w:t xml:space="preserve">ELI-SOP-ITS-005  |  SOP Perpindahan Informasi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D35"/>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2D7A4F"/>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D7A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2026-03-10T21:53:24.788Z</dcterms:created>
  <dcterms:modified xsi:type="dcterms:W3CDTF">2026-03-10T21:53:24.788Z</dcterms:modified>
</cp:coreProperties>
</file>

<file path=docProps/custom.xml><?xml version="1.0" encoding="utf-8"?>
<Properties xmlns="http://schemas.openxmlformats.org/officeDocument/2006/custom-properties" xmlns:vt="http://schemas.openxmlformats.org/officeDocument/2006/docPropsVTypes"/>
</file>