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PT EQUITY LIFE INDONESIA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CAF7D"/>
                <w:sz w:val="20"/>
                <w:szCs w:val="20"/>
              </w:rPr>
              <w:t xml:space="preserve">TEKNOLOGI INFORMASI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FORMULIR TEGURAN PELANGGARAN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DE0"/>
                <w:sz w:val="20"/>
                <w:szCs w:val="20"/>
              </w:rPr>
              <w:t xml:space="preserve">Violation Warning &amp; Non-Compliance Notice — IT Release &amp; Change Management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ELI-FORM-ITS-004  |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v1.0  |  10 Maret 2026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0392B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⚠  DOKUMEN RESMI — TEGURAN PELANGGARAN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Formulir ini merupakan bukti pelanggaran prosedur Release &amp; Change Management PT Equity Life Indonesia.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A. IDENTITAS TEGURAN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No. Teguran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ELI-TEGURAN-YYYY-NNN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Tanggal Teguran Dikeluarkan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Jenis Teguran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Jenis Teguran: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Teguran Lisan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Teguran Tertulis I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Teguran Tertulis II (Final)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Sanksi Administratif   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B. IDENTITAS PIHAK YANG DITEGUR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Nama Lengkap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NIK / Employee ID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Jabatan / Posisi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Departemen / Unit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Atasan Langsung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C. DETAIL PELANGGARAN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Tanggal Pelanggaran Terjadi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No. RFC / Change ID terkait (jika ada)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Sistem / Aplikasi yang Terpengaruh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Klausul / Prosedur yang Dilanggar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e.g. SOP-5.3, POL-4.2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D35"/>
          <w:sz w:val="19"/>
          <w:szCs w:val="19"/>
        </w:rPr>
        <w:t xml:space="preserve">Jenis Pelanggaran (centang yang sesuai):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Deploy ke production tanpa RFC yang disetujui CAB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Bypass approval workflow / Change Freeze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Tidak melakukan testing (SIT/UAT) sebelum go-live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Tidak ada rollback plan yang terdokumentasi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Tidak mematuhi prosedur Emergency Change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Penggunaan data produksi di lingkungan non-produksi tanpa izin DPO/CISO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Deployment di luar Change Window yang disetujui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Tidak melakukan ELS/Hypercare monitoring pasca deploy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Artifact tidak diverifikasi checksum (SHA-256) sebelum deploy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Vendor melakukan perubahan tanpa melalui proses CAB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Tidak mendokumentasikan hasil PIR setelah Major Change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Lainnya (isi di bawah)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Deskripsi pelanggaran (detail)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Bukti pelanggaran (screenshot, log, dll.)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Dampak yang ditimbulkan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D. PENILAIAN TINGKAT DAMPAK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🟢  RENDAH
Tidak ada gangguan layanan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96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🟡  SEDANG
Degrasi layanan terbatas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A6F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🟠  TINGGI
Gangguan layanan signifikan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🔴  KRITIS
Outage / Data Breach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Tingkat Dampak yang Dipilih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RENDAH / SEDANG / TINGGI / KRITIS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Justifikasi tingkat dampak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E. KLARIFIKASI DARI PIHAK YANG DITEGUR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Berikan penjelasan atau klarifikasi atas pelanggaran yang dituduhkan. Pihak yang ditegur berhak memberikan penjelasan sebelum sanksi final ditetapkan.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Klarifikasi / Penjelasan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Setuju dengan temuan pelanggaran?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SETUJU / TIDAK SETUJU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F. TINDAKAN KOREKTIF &amp; PREVENTIF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Tindakan korektif yang wajib dilakukan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Deadline penyelesaian tindakan korektif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Tindakan preventif agar tidak terulang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Training / Sosialisasi SOP dibutuhkan?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YA / TIDAK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Akses system di-suspend sementara?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YA / TIDAK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G. RIWAYAT TEGURAN SEBELUMNYA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2560"/>
        <w:gridCol w:w="2600"/>
      </w:tblGrid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No. Teguran Sebelumnya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Tanggal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Jenis Teguran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Pelanggaran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 Tindakan Korektif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Teguran sebelumnya: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Tidak ada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1 kali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2 kali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≥ 3 kali (pertimbangkan sanksi lebih berat)   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H. KEPUTUSAN SANKSI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Keputusan Sanksi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Uraian sanksi yang ditetapkan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Tanggal mulai berlaku sanksi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Tanggal sanksi berakhir / review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Didokumentasikan di HR records?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YA / TIDAK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Sanksi: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Teguran Tertulis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Penangguhan Akses Sementara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Pelatihan Wajib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Pemotongan KPI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Sanksi HR sesuai PKB   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I. PERSETUJUAN &amp; TANDA TANGAN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IT Compliance / Auditor Internal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IT Manager / Kepala Divisi TI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HR Business Partner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Pihak yang Ditegur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Dokumen ini bersifat RAHASIA dan hanya untuk keperluan internal PT Equity Life Indonesia.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Salinan formulir ini disimpan oleh: (1) IT Compliance, (2) HR, (3) Atasan langsung pihak yang ditegur.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8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PT Equity Life Indonesia  |  CONFIDENTIAL — Internal Use Only  |  ELI-ITS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8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2D7A4F"/>
        <w:sz w:val="17"/>
        <w:szCs w:val="17"/>
      </w:rPr>
      <w:t xml:space="preserve">ELI-FORM-ITS-004  |  FORMULIR TEGURAN PELANGGARAN</w:t>
    </w:r>
    <w:r>
      <w:rPr>
        <w:rFonts w:ascii="Arial" w:cs="Arial" w:eastAsia="Arial" w:hAnsi="Arial"/>
        <w:b w:val="false"/>
        <w:bCs w:val="false"/>
        <w:i w:val="false"/>
        <w:iCs w:val="false"/>
        <w:color w:val="1A1A1A"/>
        <w:sz w:val="17"/>
        <w:szCs w:val="17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7"/>
        <w:szCs w:val="17"/>
      </w:rPr>
      <w:t xml:space="preserve">Hal.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2026-03-10T21:14:04.785Z</dcterms:created>
  <dcterms:modified xsi:type="dcterms:W3CDTF">2026-03-10T21:14:04.785Z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